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B3" w:rsidRDefault="006C68AE">
      <w:pPr>
        <w:rPr>
          <w:noProof/>
          <w:color w:val="0000FF"/>
          <w:lang w:eastAsia="en-GB"/>
        </w:rPr>
      </w:pPr>
      <w:r>
        <w:rPr>
          <w:noProof/>
          <w:color w:val="0000FF"/>
          <w:lang w:eastAsia="en-GB"/>
        </w:rPr>
        <w:drawing>
          <wp:anchor distT="0" distB="0" distL="114300" distR="114300" simplePos="0" relativeHeight="251659264" behindDoc="0" locked="0" layoutInCell="1" allowOverlap="1">
            <wp:simplePos x="0" y="0"/>
            <wp:positionH relativeFrom="column">
              <wp:posOffset>-183695</wp:posOffset>
            </wp:positionH>
            <wp:positionV relativeFrom="paragraph">
              <wp:posOffset>0</wp:posOffset>
            </wp:positionV>
            <wp:extent cx="3329940" cy="2115185"/>
            <wp:effectExtent l="0" t="0" r="3810" b="0"/>
            <wp:wrapSquare wrapText="bothSides"/>
            <wp:docPr id="2" name="irc_mi" descr="Image result for red house morr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d house morr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115185"/>
                    </a:xfrm>
                    <a:prstGeom prst="rect">
                      <a:avLst/>
                    </a:prstGeom>
                    <a:noFill/>
                    <a:ln>
                      <a:noFill/>
                    </a:ln>
                  </pic:spPr>
                </pic:pic>
              </a:graphicData>
            </a:graphic>
          </wp:anchor>
        </w:drawing>
      </w:r>
      <w:r>
        <w:rPr>
          <w:noProof/>
          <w:color w:val="0000FF"/>
          <w:lang w:eastAsia="en-GB"/>
        </w:rPr>
        <w:drawing>
          <wp:anchor distT="0" distB="0" distL="114300" distR="114300" simplePos="0" relativeHeight="251658240" behindDoc="0" locked="0" layoutInCell="1" allowOverlap="1">
            <wp:simplePos x="0" y="0"/>
            <wp:positionH relativeFrom="column">
              <wp:posOffset>3322936</wp:posOffset>
            </wp:positionH>
            <wp:positionV relativeFrom="paragraph">
              <wp:posOffset>20159</wp:posOffset>
            </wp:positionV>
            <wp:extent cx="3466465" cy="2081530"/>
            <wp:effectExtent l="0" t="0" r="635" b="0"/>
            <wp:wrapSquare wrapText="bothSides"/>
            <wp:docPr id="3" name="irc_mi"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6465" cy="208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8AE">
        <w:rPr>
          <w:noProof/>
          <w:color w:val="0000FF"/>
          <w:lang w:eastAsia="en-GB"/>
        </w:rPr>
        <w:t xml:space="preserve"> </w:t>
      </w:r>
    </w:p>
    <w:p w:rsidR="006C68AE" w:rsidRPr="003D471D" w:rsidRDefault="006C68AE">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 xml:space="preserve">William Morris and Philip Webb, </w:t>
      </w:r>
      <w:r w:rsidRPr="003D471D">
        <w:rPr>
          <w:rFonts w:ascii="Arial" w:hAnsi="Arial" w:cs="Arial"/>
          <w:i/>
          <w:noProof/>
          <w:color w:val="000000" w:themeColor="text1"/>
          <w:sz w:val="20"/>
          <w:szCs w:val="20"/>
          <w:lang w:eastAsia="en-GB"/>
        </w:rPr>
        <w:t>Red House</w:t>
      </w:r>
      <w:r w:rsidRPr="003D471D">
        <w:rPr>
          <w:rFonts w:ascii="Arial" w:hAnsi="Arial" w:cs="Arial"/>
          <w:noProof/>
          <w:color w:val="000000" w:themeColor="text1"/>
          <w:sz w:val="20"/>
          <w:szCs w:val="20"/>
          <w:lang w:eastAsia="en-GB"/>
        </w:rPr>
        <w:t>, 1850</w:t>
      </w:r>
    </w:p>
    <w:p w:rsidR="006C68AE" w:rsidRPr="003D471D" w:rsidRDefault="006C68AE">
      <w:pPr>
        <w:rPr>
          <w:rFonts w:ascii="Arial" w:hAnsi="Arial" w:cs="Arial"/>
          <w:b/>
          <w:noProof/>
          <w:color w:val="FF00FF"/>
          <w:sz w:val="20"/>
          <w:szCs w:val="20"/>
          <w:lang w:eastAsia="en-GB"/>
        </w:rPr>
      </w:pPr>
      <w:r w:rsidRPr="003D471D">
        <w:rPr>
          <w:rFonts w:ascii="Arial" w:hAnsi="Arial" w:cs="Arial"/>
          <w:b/>
          <w:noProof/>
          <w:color w:val="FF00FF"/>
          <w:sz w:val="20"/>
          <w:szCs w:val="20"/>
          <w:lang w:eastAsia="en-GB"/>
        </w:rPr>
        <w:t xml:space="preserve">Q: Analyse how the form of one </w:t>
      </w:r>
      <w:r w:rsidR="003D471D" w:rsidRPr="003D471D">
        <w:rPr>
          <w:rFonts w:ascii="Arial" w:hAnsi="Arial" w:cs="Arial"/>
          <w:b/>
          <w:noProof/>
          <w:color w:val="FF00FF"/>
          <w:sz w:val="20"/>
          <w:szCs w:val="20"/>
          <w:lang w:eastAsia="en-GB"/>
        </w:rPr>
        <w:t xml:space="preserve">British </w:t>
      </w:r>
      <w:r w:rsidRPr="003D471D">
        <w:rPr>
          <w:rFonts w:ascii="Arial" w:hAnsi="Arial" w:cs="Arial"/>
          <w:b/>
          <w:noProof/>
          <w:color w:val="FF00FF"/>
          <w:sz w:val="20"/>
          <w:szCs w:val="20"/>
          <w:lang w:eastAsia="en-GB"/>
        </w:rPr>
        <w:t>domestic building affects its function (5 marks).</w:t>
      </w:r>
    </w:p>
    <w:p w:rsidR="006C68AE" w:rsidRPr="003D471D" w:rsidRDefault="006C68AE">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 xml:space="preserve">1. Morris and Webb’s </w:t>
      </w:r>
      <w:r w:rsidRPr="003D471D">
        <w:rPr>
          <w:rFonts w:ascii="Arial" w:hAnsi="Arial" w:cs="Arial"/>
          <w:i/>
          <w:noProof/>
          <w:color w:val="000000" w:themeColor="text1"/>
          <w:sz w:val="20"/>
          <w:szCs w:val="20"/>
          <w:lang w:eastAsia="en-GB"/>
        </w:rPr>
        <w:t>Red House</w:t>
      </w:r>
      <w:r w:rsidRPr="003D471D">
        <w:rPr>
          <w:rFonts w:ascii="Arial" w:hAnsi="Arial" w:cs="Arial"/>
          <w:noProof/>
          <w:color w:val="000000" w:themeColor="text1"/>
          <w:sz w:val="20"/>
          <w:szCs w:val="20"/>
          <w:lang w:eastAsia="en-GB"/>
        </w:rPr>
        <w:t xml:space="preserve"> is a two-storey red brick building located in Bexleyheath, England.</w:t>
      </w:r>
    </w:p>
    <w:p w:rsidR="006C68AE" w:rsidRPr="003D471D" w:rsidRDefault="006C68AE">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 xml:space="preserve">2. The </w:t>
      </w:r>
      <w:r w:rsidR="00EA4DD4" w:rsidRPr="003D471D">
        <w:rPr>
          <w:rFonts w:ascii="Arial" w:hAnsi="Arial" w:cs="Arial"/>
          <w:noProof/>
          <w:color w:val="000000" w:themeColor="text1"/>
          <w:sz w:val="20"/>
          <w:szCs w:val="20"/>
          <w:lang w:eastAsia="en-GB"/>
        </w:rPr>
        <w:t>L-shaped building has irregular placed windows which are designed to suit the rooms they illuminate. Larger windows are used in rooms requiring more light such as the drawing room and smaller windows for the bedrooms.</w:t>
      </w:r>
    </w:p>
    <w:p w:rsidR="00EA4DD4" w:rsidRPr="003D471D" w:rsidRDefault="00EA4DD4">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3. The red brick is local to the area, giving the house a warm and welcoming appearance. The use of local materials links to the vernacular appearance of the house which is in the Arts &amp; Crafts style.</w:t>
      </w:r>
    </w:p>
    <w:p w:rsidR="00EA4DD4" w:rsidRPr="003D471D" w:rsidRDefault="00EA4DD4">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4. A courtyard at the back of the house is framed within the L-shape of the building and contains a well- providing the house with fresh water.</w:t>
      </w:r>
    </w:p>
    <w:p w:rsidR="00EA4DD4" w:rsidRPr="003D471D" w:rsidRDefault="00EA4DD4">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 xml:space="preserve">5. The interior is decorated with furniture in the Arts &amp; Crafts style of wood and stained glass with references to nature- giving the home a homely appearance. </w:t>
      </w:r>
    </w:p>
    <w:p w:rsidR="00EA4DD4" w:rsidRPr="003D471D" w:rsidRDefault="00EA4DD4">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6. The pitched roof allows for high ceilings in the living area, giving a light and airy feel to this space.</w:t>
      </w:r>
    </w:p>
    <w:p w:rsidR="00EA4DD4" w:rsidRPr="003D471D" w:rsidRDefault="00EA4DD4">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7. Morris used designs from his own company (Morris &amp; Co) such as textiles and drapery with natural motifs, making this home also a showcase for his skills and ideas.</w:t>
      </w: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6C68AE">
      <w:pPr>
        <w:rPr>
          <w:rFonts w:ascii="Arial" w:hAnsi="Arial" w:cs="Arial"/>
          <w:noProof/>
          <w:color w:val="000000" w:themeColor="text1"/>
          <w:sz w:val="20"/>
          <w:szCs w:val="20"/>
          <w:lang w:eastAsia="en-GB"/>
        </w:rPr>
      </w:pPr>
    </w:p>
    <w:p w:rsidR="006C68AE" w:rsidRPr="003D471D" w:rsidRDefault="003D471D">
      <w:pPr>
        <w:rPr>
          <w:rFonts w:ascii="Arial" w:hAnsi="Arial" w:cs="Arial"/>
          <w:noProof/>
          <w:color w:val="000000" w:themeColor="text1"/>
          <w:sz w:val="20"/>
          <w:szCs w:val="20"/>
          <w:lang w:eastAsia="en-GB"/>
        </w:rPr>
      </w:pPr>
      <w:r w:rsidRPr="003D471D">
        <w:rPr>
          <w:rFonts w:ascii="Arial" w:hAnsi="Arial" w:cs="Arial"/>
          <w:noProof/>
          <w:color w:val="0000FF"/>
          <w:sz w:val="20"/>
          <w:szCs w:val="20"/>
          <w:lang w:eastAsia="en-GB"/>
        </w:rPr>
        <w:lastRenderedPageBreak/>
        <w:drawing>
          <wp:anchor distT="0" distB="0" distL="114300" distR="114300" simplePos="0" relativeHeight="251660288" behindDoc="0" locked="0" layoutInCell="1" allowOverlap="1">
            <wp:simplePos x="0" y="0"/>
            <wp:positionH relativeFrom="column">
              <wp:posOffset>1809750</wp:posOffset>
            </wp:positionH>
            <wp:positionV relativeFrom="paragraph">
              <wp:posOffset>7620</wp:posOffset>
            </wp:positionV>
            <wp:extent cx="3595370" cy="2000250"/>
            <wp:effectExtent l="0" t="0" r="5080" b="0"/>
            <wp:wrapSquare wrapText="bothSides"/>
            <wp:docPr id="5" name="irc_mi" descr="Image result for castel berang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stel berange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5370" cy="2000250"/>
                    </a:xfrm>
                    <a:prstGeom prst="rect">
                      <a:avLst/>
                    </a:prstGeom>
                    <a:noFill/>
                    <a:ln>
                      <a:noFill/>
                    </a:ln>
                  </pic:spPr>
                </pic:pic>
              </a:graphicData>
            </a:graphic>
          </wp:anchor>
        </w:drawing>
      </w:r>
      <w:r w:rsidRPr="003D471D">
        <w:rPr>
          <w:rFonts w:ascii="Arial" w:hAnsi="Arial" w:cs="Arial"/>
          <w:noProof/>
          <w:color w:val="0000FF"/>
          <w:sz w:val="20"/>
          <w:szCs w:val="20"/>
          <w:lang w:eastAsia="en-GB"/>
        </w:rPr>
        <w:drawing>
          <wp:inline distT="0" distB="0" distL="0" distR="0" wp14:anchorId="65EB40C0" wp14:editId="0D1FF998">
            <wp:extent cx="1508078" cy="2009506"/>
            <wp:effectExtent l="0" t="0" r="0" b="0"/>
            <wp:docPr id="4" name="irc_mi" descr="Image result for castel bera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stel berang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9442" cy="2024649"/>
                    </a:xfrm>
                    <a:prstGeom prst="rect">
                      <a:avLst/>
                    </a:prstGeom>
                    <a:noFill/>
                    <a:ln>
                      <a:noFill/>
                    </a:ln>
                  </pic:spPr>
                </pic:pic>
              </a:graphicData>
            </a:graphic>
          </wp:inline>
        </w:drawing>
      </w:r>
    </w:p>
    <w:p w:rsidR="006C68AE" w:rsidRPr="003D471D" w:rsidRDefault="006C68AE">
      <w:pPr>
        <w:rPr>
          <w:rFonts w:ascii="Arial" w:hAnsi="Arial" w:cs="Arial"/>
          <w:noProof/>
          <w:color w:val="000000" w:themeColor="text1"/>
          <w:sz w:val="20"/>
          <w:szCs w:val="20"/>
          <w:lang w:eastAsia="en-GB"/>
        </w:rPr>
      </w:pPr>
      <w:r w:rsidRPr="003D471D">
        <w:rPr>
          <w:rFonts w:ascii="Arial" w:hAnsi="Arial" w:cs="Arial"/>
          <w:noProof/>
          <w:color w:val="000000" w:themeColor="text1"/>
          <w:sz w:val="20"/>
          <w:szCs w:val="20"/>
          <w:lang w:eastAsia="en-GB"/>
        </w:rPr>
        <w:t xml:space="preserve">Guimard, </w:t>
      </w:r>
      <w:r w:rsidRPr="003D471D">
        <w:rPr>
          <w:rFonts w:ascii="Arial" w:hAnsi="Arial" w:cs="Arial"/>
          <w:i/>
          <w:noProof/>
          <w:color w:val="000000" w:themeColor="text1"/>
          <w:sz w:val="20"/>
          <w:szCs w:val="20"/>
          <w:lang w:eastAsia="en-GB"/>
        </w:rPr>
        <w:t>Castel Beranger</w:t>
      </w:r>
      <w:r w:rsidRPr="003D471D">
        <w:rPr>
          <w:rFonts w:ascii="Arial" w:hAnsi="Arial" w:cs="Arial"/>
          <w:noProof/>
          <w:color w:val="000000" w:themeColor="text1"/>
          <w:sz w:val="20"/>
          <w:szCs w:val="20"/>
          <w:lang w:eastAsia="en-GB"/>
        </w:rPr>
        <w:t>, completed 1898</w:t>
      </w:r>
    </w:p>
    <w:p w:rsidR="003D471D" w:rsidRPr="003D471D" w:rsidRDefault="003D471D" w:rsidP="003D471D">
      <w:pPr>
        <w:rPr>
          <w:rFonts w:ascii="Arial" w:hAnsi="Arial" w:cs="Arial"/>
          <w:b/>
          <w:noProof/>
          <w:color w:val="FF00FF"/>
          <w:sz w:val="20"/>
          <w:szCs w:val="20"/>
          <w:lang w:eastAsia="en-GB"/>
        </w:rPr>
      </w:pPr>
      <w:r w:rsidRPr="003D471D">
        <w:rPr>
          <w:rFonts w:ascii="Arial" w:hAnsi="Arial" w:cs="Arial"/>
          <w:b/>
          <w:noProof/>
          <w:color w:val="FF00FF"/>
          <w:sz w:val="20"/>
          <w:szCs w:val="20"/>
          <w:lang w:eastAsia="en-GB"/>
        </w:rPr>
        <w:t xml:space="preserve">Q: Analyse how the form of one </w:t>
      </w:r>
      <w:r w:rsidRPr="003D471D">
        <w:rPr>
          <w:rFonts w:ascii="Arial" w:hAnsi="Arial" w:cs="Arial"/>
          <w:b/>
          <w:noProof/>
          <w:color w:val="FF00FF"/>
          <w:sz w:val="20"/>
          <w:szCs w:val="20"/>
          <w:lang w:eastAsia="en-GB"/>
        </w:rPr>
        <w:t>French</w:t>
      </w:r>
      <w:r w:rsidRPr="003D471D">
        <w:rPr>
          <w:rFonts w:ascii="Arial" w:hAnsi="Arial" w:cs="Arial"/>
          <w:b/>
          <w:noProof/>
          <w:color w:val="FF00FF"/>
          <w:sz w:val="20"/>
          <w:szCs w:val="20"/>
          <w:lang w:eastAsia="en-GB"/>
        </w:rPr>
        <w:t xml:space="preserve"> domestic building affects its function (5 marks).</w:t>
      </w:r>
    </w:p>
    <w:p w:rsidR="003D471D" w:rsidRDefault="003D471D" w:rsidP="003D471D">
      <w:pPr>
        <w:rPr>
          <w:rFonts w:ascii="Arial" w:hAnsi="Arial" w:cs="Arial"/>
          <w:sz w:val="20"/>
          <w:szCs w:val="20"/>
        </w:rPr>
      </w:pPr>
      <w:r w:rsidRPr="003D471D">
        <w:rPr>
          <w:rFonts w:ascii="Arial" w:hAnsi="Arial" w:cs="Arial"/>
          <w:sz w:val="20"/>
          <w:szCs w:val="20"/>
        </w:rPr>
        <w:t xml:space="preserve">1. </w:t>
      </w:r>
      <w:r>
        <w:rPr>
          <w:rFonts w:ascii="Arial" w:hAnsi="Arial" w:cs="Arial"/>
          <w:sz w:val="20"/>
          <w:szCs w:val="20"/>
        </w:rPr>
        <w:t>Castel Beranger is an Art Nouveau block of apartments built in Paris and commissioned by a wealthy widow. Each apartment rented.</w:t>
      </w:r>
    </w:p>
    <w:p w:rsidR="003D471D" w:rsidRPr="003D471D" w:rsidRDefault="003D471D" w:rsidP="003D471D">
      <w:pPr>
        <w:rPr>
          <w:rFonts w:ascii="Arial" w:hAnsi="Arial" w:cs="Arial"/>
          <w:sz w:val="20"/>
          <w:szCs w:val="20"/>
        </w:rPr>
      </w:pPr>
      <w:r>
        <w:rPr>
          <w:rFonts w:ascii="Arial" w:hAnsi="Arial" w:cs="Arial"/>
          <w:sz w:val="20"/>
          <w:szCs w:val="20"/>
        </w:rPr>
        <w:t xml:space="preserve">2. </w:t>
      </w:r>
      <w:r w:rsidRPr="003D471D">
        <w:rPr>
          <w:rFonts w:ascii="Arial" w:hAnsi="Arial" w:cs="Arial"/>
          <w:sz w:val="20"/>
          <w:szCs w:val="20"/>
        </w:rPr>
        <w:t xml:space="preserve">A six storey block of apartments, all designed </w:t>
      </w:r>
      <w:r w:rsidRPr="003D471D">
        <w:rPr>
          <w:rFonts w:ascii="Arial" w:hAnsi="Arial" w:cs="Arial"/>
          <w:sz w:val="20"/>
          <w:szCs w:val="20"/>
        </w:rPr>
        <w:t>differently</w:t>
      </w:r>
      <w:r w:rsidRPr="003D471D">
        <w:rPr>
          <w:rFonts w:ascii="Arial" w:hAnsi="Arial" w:cs="Arial"/>
          <w:sz w:val="20"/>
          <w:szCs w:val="20"/>
        </w:rPr>
        <w:t xml:space="preserve">, giving a sense of individuality to each home. </w:t>
      </w:r>
    </w:p>
    <w:p w:rsidR="003D471D" w:rsidRPr="003D471D" w:rsidRDefault="003D471D" w:rsidP="003D471D">
      <w:pPr>
        <w:rPr>
          <w:rFonts w:ascii="Arial" w:hAnsi="Arial" w:cs="Arial"/>
          <w:sz w:val="20"/>
          <w:szCs w:val="20"/>
        </w:rPr>
      </w:pPr>
      <w:r>
        <w:rPr>
          <w:rFonts w:ascii="Arial" w:hAnsi="Arial" w:cs="Arial"/>
          <w:sz w:val="20"/>
          <w:szCs w:val="20"/>
        </w:rPr>
        <w:t>3</w:t>
      </w:r>
      <w:r w:rsidRPr="003D471D">
        <w:rPr>
          <w:rFonts w:ascii="Arial" w:hAnsi="Arial" w:cs="Arial"/>
          <w:sz w:val="20"/>
          <w:szCs w:val="20"/>
        </w:rPr>
        <w:t xml:space="preserve">. </w:t>
      </w:r>
      <w:r w:rsidRPr="003D471D">
        <w:rPr>
          <w:rFonts w:ascii="Arial" w:hAnsi="Arial" w:cs="Arial"/>
          <w:sz w:val="20"/>
          <w:szCs w:val="20"/>
        </w:rPr>
        <w:t xml:space="preserve">Main </w:t>
      </w:r>
      <w:r w:rsidRPr="003D471D">
        <w:rPr>
          <w:rFonts w:ascii="Arial" w:hAnsi="Arial" w:cs="Arial"/>
          <w:sz w:val="20"/>
          <w:szCs w:val="20"/>
        </w:rPr>
        <w:t xml:space="preserve">front </w:t>
      </w:r>
      <w:r w:rsidRPr="003D471D">
        <w:rPr>
          <w:rFonts w:ascii="Arial" w:hAnsi="Arial" w:cs="Arial"/>
          <w:sz w:val="20"/>
          <w:szCs w:val="20"/>
        </w:rPr>
        <w:t>door</w:t>
      </w:r>
      <w:r w:rsidRPr="003D471D">
        <w:rPr>
          <w:rFonts w:ascii="Arial" w:hAnsi="Arial" w:cs="Arial"/>
          <w:sz w:val="20"/>
          <w:szCs w:val="20"/>
        </w:rPr>
        <w:t xml:space="preserve"> of building</w:t>
      </w:r>
      <w:r w:rsidRPr="003D471D">
        <w:rPr>
          <w:rFonts w:ascii="Arial" w:hAnsi="Arial" w:cs="Arial"/>
          <w:sz w:val="20"/>
          <w:szCs w:val="20"/>
        </w:rPr>
        <w:t xml:space="preserve"> gives access to a central hall on the ground floor- similar to a foyer. The ground floor apartments have access to a central </w:t>
      </w:r>
      <w:r w:rsidRPr="003D471D">
        <w:rPr>
          <w:rFonts w:ascii="Arial" w:hAnsi="Arial" w:cs="Arial"/>
          <w:sz w:val="20"/>
          <w:szCs w:val="20"/>
        </w:rPr>
        <w:t xml:space="preserve">open air </w:t>
      </w:r>
      <w:r w:rsidRPr="003D471D">
        <w:rPr>
          <w:rFonts w:ascii="Arial" w:hAnsi="Arial" w:cs="Arial"/>
          <w:sz w:val="20"/>
          <w:szCs w:val="20"/>
        </w:rPr>
        <w:t>co</w:t>
      </w:r>
      <w:r w:rsidRPr="003D471D">
        <w:rPr>
          <w:rFonts w:ascii="Arial" w:hAnsi="Arial" w:cs="Arial"/>
          <w:sz w:val="20"/>
          <w:szCs w:val="20"/>
        </w:rPr>
        <w:t>urtyard- allows for fresh air and recreation.</w:t>
      </w:r>
    </w:p>
    <w:p w:rsidR="003D471D" w:rsidRPr="003D471D" w:rsidRDefault="003D471D" w:rsidP="003D471D">
      <w:pPr>
        <w:rPr>
          <w:rFonts w:ascii="Arial" w:hAnsi="Arial" w:cs="Arial"/>
          <w:sz w:val="20"/>
          <w:szCs w:val="20"/>
        </w:rPr>
      </w:pPr>
      <w:r>
        <w:rPr>
          <w:rFonts w:ascii="Arial" w:hAnsi="Arial" w:cs="Arial"/>
          <w:sz w:val="20"/>
          <w:szCs w:val="20"/>
        </w:rPr>
        <w:t>4</w:t>
      </w:r>
      <w:r w:rsidRPr="003D471D">
        <w:rPr>
          <w:rFonts w:ascii="Arial" w:hAnsi="Arial" w:cs="Arial"/>
          <w:sz w:val="20"/>
          <w:szCs w:val="20"/>
        </w:rPr>
        <w:t xml:space="preserve">. </w:t>
      </w:r>
      <w:r w:rsidRPr="003D471D">
        <w:rPr>
          <w:rFonts w:ascii="Arial" w:hAnsi="Arial" w:cs="Arial"/>
          <w:sz w:val="20"/>
          <w:szCs w:val="20"/>
        </w:rPr>
        <w:t>Upper storey apartments have cast-iron balconies allowing opening air and views</w:t>
      </w:r>
      <w:r w:rsidRPr="003D471D">
        <w:rPr>
          <w:rFonts w:ascii="Arial" w:hAnsi="Arial" w:cs="Arial"/>
          <w:sz w:val="20"/>
          <w:szCs w:val="20"/>
        </w:rPr>
        <w:t xml:space="preserve"> of Paris</w:t>
      </w:r>
      <w:r w:rsidRPr="003D471D">
        <w:rPr>
          <w:rFonts w:ascii="Arial" w:hAnsi="Arial" w:cs="Arial"/>
          <w:sz w:val="20"/>
          <w:szCs w:val="20"/>
        </w:rPr>
        <w:t xml:space="preserve">. </w:t>
      </w:r>
    </w:p>
    <w:p w:rsidR="003D471D" w:rsidRPr="003D471D" w:rsidRDefault="003D471D" w:rsidP="003D471D">
      <w:pPr>
        <w:rPr>
          <w:rFonts w:ascii="Arial" w:hAnsi="Arial" w:cs="Arial"/>
          <w:sz w:val="20"/>
          <w:szCs w:val="20"/>
        </w:rPr>
      </w:pPr>
      <w:r>
        <w:rPr>
          <w:rFonts w:ascii="Arial" w:hAnsi="Arial" w:cs="Arial"/>
          <w:sz w:val="20"/>
          <w:szCs w:val="20"/>
        </w:rPr>
        <w:t>5</w:t>
      </w:r>
      <w:r w:rsidRPr="003D471D">
        <w:rPr>
          <w:rFonts w:ascii="Arial" w:hAnsi="Arial" w:cs="Arial"/>
          <w:sz w:val="20"/>
          <w:szCs w:val="20"/>
        </w:rPr>
        <w:t xml:space="preserve">. </w:t>
      </w:r>
      <w:r w:rsidRPr="003D471D">
        <w:rPr>
          <w:rFonts w:ascii="Arial" w:hAnsi="Arial" w:cs="Arial"/>
          <w:sz w:val="20"/>
          <w:szCs w:val="20"/>
        </w:rPr>
        <w:t xml:space="preserve">Colours are homely and earthy throughout- bronze, green, </w:t>
      </w:r>
      <w:proofErr w:type="gramStart"/>
      <w:r w:rsidRPr="003D471D">
        <w:rPr>
          <w:rFonts w:ascii="Arial" w:hAnsi="Arial" w:cs="Arial"/>
          <w:sz w:val="20"/>
          <w:szCs w:val="20"/>
        </w:rPr>
        <w:t>red</w:t>
      </w:r>
      <w:proofErr w:type="gramEnd"/>
      <w:r w:rsidRPr="003D471D">
        <w:rPr>
          <w:rFonts w:ascii="Arial" w:hAnsi="Arial" w:cs="Arial"/>
          <w:sz w:val="20"/>
          <w:szCs w:val="20"/>
        </w:rPr>
        <w:t xml:space="preserve">. Materials are similarly organic- terracotta tiling in entrance hall, flowing cast iron framework and details add to the style of the building. </w:t>
      </w:r>
    </w:p>
    <w:p w:rsidR="003D471D" w:rsidRPr="003D471D" w:rsidRDefault="003D471D" w:rsidP="003D471D">
      <w:pPr>
        <w:rPr>
          <w:rFonts w:ascii="Arial" w:hAnsi="Arial" w:cs="Arial"/>
          <w:sz w:val="20"/>
          <w:szCs w:val="20"/>
        </w:rPr>
      </w:pPr>
      <w:r>
        <w:rPr>
          <w:rFonts w:ascii="Arial" w:hAnsi="Arial" w:cs="Arial"/>
          <w:sz w:val="20"/>
          <w:szCs w:val="20"/>
        </w:rPr>
        <w:t>6</w:t>
      </w:r>
      <w:r w:rsidRPr="003D471D">
        <w:rPr>
          <w:rFonts w:ascii="Arial" w:hAnsi="Arial" w:cs="Arial"/>
          <w:sz w:val="20"/>
          <w:szCs w:val="20"/>
        </w:rPr>
        <w:t xml:space="preserve">. </w:t>
      </w:r>
      <w:r w:rsidRPr="003D471D">
        <w:rPr>
          <w:rFonts w:ascii="Arial" w:hAnsi="Arial" w:cs="Arial"/>
          <w:sz w:val="20"/>
          <w:szCs w:val="20"/>
        </w:rPr>
        <w:t xml:space="preserve">Balustrades, window frames and ceiling decoration are all composed of flowing lines. These all collectively provide a sense of originality but warmth to the building. </w:t>
      </w:r>
    </w:p>
    <w:p w:rsidR="003D471D" w:rsidRPr="003D471D" w:rsidRDefault="003D471D" w:rsidP="003D471D">
      <w:pPr>
        <w:rPr>
          <w:rFonts w:ascii="Arial" w:hAnsi="Arial" w:cs="Arial"/>
          <w:sz w:val="20"/>
          <w:szCs w:val="20"/>
        </w:rPr>
      </w:pPr>
      <w:r>
        <w:rPr>
          <w:rFonts w:ascii="Arial" w:hAnsi="Arial" w:cs="Arial"/>
          <w:sz w:val="20"/>
          <w:szCs w:val="20"/>
        </w:rPr>
        <w:t>7</w:t>
      </w:r>
      <w:r w:rsidRPr="003D471D">
        <w:rPr>
          <w:rFonts w:ascii="Arial" w:hAnsi="Arial" w:cs="Arial"/>
          <w:sz w:val="20"/>
          <w:szCs w:val="20"/>
        </w:rPr>
        <w:t xml:space="preserve">. </w:t>
      </w:r>
      <w:r>
        <w:rPr>
          <w:rFonts w:ascii="Arial" w:hAnsi="Arial" w:cs="Arial"/>
          <w:sz w:val="20"/>
          <w:szCs w:val="20"/>
        </w:rPr>
        <w:t xml:space="preserve">Use of strong materials such as stone, iron suggest strength and a domestic safe haven for occupants. </w:t>
      </w:r>
      <w:bookmarkStart w:id="0" w:name="_GoBack"/>
      <w:bookmarkEnd w:id="0"/>
    </w:p>
    <w:p w:rsidR="003D471D" w:rsidRPr="003D471D" w:rsidRDefault="003D471D" w:rsidP="003D471D">
      <w:pPr>
        <w:rPr>
          <w:noProof/>
          <w:color w:val="000000" w:themeColor="text1"/>
          <w:sz w:val="20"/>
          <w:lang w:eastAsia="en-GB"/>
        </w:rPr>
      </w:pPr>
    </w:p>
    <w:p w:rsidR="003D471D" w:rsidRPr="006C68AE" w:rsidRDefault="003D471D">
      <w:pPr>
        <w:rPr>
          <w:color w:val="000000" w:themeColor="text1"/>
          <w:sz w:val="18"/>
        </w:rPr>
      </w:pPr>
    </w:p>
    <w:sectPr w:rsidR="003D471D" w:rsidRPr="006C68AE" w:rsidSect="006C6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AE"/>
    <w:rsid w:val="003D471D"/>
    <w:rsid w:val="004A12B3"/>
    <w:rsid w:val="006C68AE"/>
    <w:rsid w:val="00BD1B1A"/>
    <w:rsid w:val="00EA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19CB"/>
  <w15:chartTrackingRefBased/>
  <w15:docId w15:val="{5E1238DF-1102-4C98-AA1D-F6ED10B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ilmNC7-vzhAhWHHxQKHSldC9YQjRx6BAgBEAU&amp;url=%2Furl%3Fsa%3Di%26rct%3Dj%26q%3D%26esrc%3Ds%26source%3Dimages%26cd%3D%26ved%3D%26url%3Dhttps%253A%252F%252Fwww.unjourdeplusaparis.com%252Fen%252Fparis-insolite%252Fle-castel-beranger-art-nouveau-paris%26psig%3DAOvVaw3dEdY1ZbgDiYxEO9MvKUAp%26ust%3D1556890284668562&amp;psig=AOvVaw3dEdY1ZbgDiYxEO9MvKUAp&amp;ust=155689028466856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2ahUKEwjt1KDW-fzhAhVJ1eAKHcv7DSMQjRx6BAgBEAU&amp;url=https%3A%2F%2Fen.wikipedia.org%2Fwiki%2FRed_House%2C_Bexleyheath&amp;psig=AOvVaw3tBBBH59QSAuSzLTyn4P2Q&amp;ust=1556890022186827"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google.co.uk/url?sa=i&amp;rct=j&amp;q=&amp;esrc=s&amp;source=images&amp;cd=&amp;cad=rja&amp;uact=8&amp;ved=2ahUKEwj5lci2-vzhAhWWAWMBHYlnC_AQjRx6BAgBEAU&amp;url=https%3A%2F%2Fen.wikipedia.org%2Fwiki%2FCastel_B%25C3%25A9ranger&amp;psig=AOvVaw3dEdY1ZbgDiYxEO9MvKUAp&amp;ust=1556890284668562" TargetMode="External"/><Relationship Id="rId4" Type="http://schemas.openxmlformats.org/officeDocument/2006/relationships/hyperlink" Target="http://www.google.co.uk/url?sa=i&amp;rct=j&amp;q=&amp;esrc=s&amp;source=images&amp;cd=&amp;cad=rja&amp;uact=8&amp;ved=2ahUKEwjhntu6-fzhAhUs6uAKHb5GCNMQjRx6BAgBEAU&amp;url=http%3A%2F%2Fwww.victorianweb.org%2Fart%2Farchitecture%2Fwebb%2F1.html&amp;psig=AOvVaw3tBBBH59QSAuSzLTyn4P2Q&amp;ust=1556890022186827"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E27AFB1B</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Greaney</dc:creator>
  <cp:keywords/>
  <dc:description/>
  <cp:lastModifiedBy>Daniel Greaney</cp:lastModifiedBy>
  <cp:revision>2</cp:revision>
  <cp:lastPrinted>2019-05-02T13:33:00Z</cp:lastPrinted>
  <dcterms:created xsi:type="dcterms:W3CDTF">2019-05-10T08:43:00Z</dcterms:created>
  <dcterms:modified xsi:type="dcterms:W3CDTF">2019-05-10T08:43:00Z</dcterms:modified>
</cp:coreProperties>
</file>