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D9" w:rsidRPr="008A7ED9" w:rsidRDefault="008A7ED9" w:rsidP="008A7ED9">
      <w:pPr>
        <w:spacing w:before="100" w:beforeAutospacing="1" w:after="100" w:afterAutospacing="1" w:line="240" w:lineRule="auto"/>
        <w:rPr>
          <w:rFonts w:eastAsia="Times New Roman" w:cstheme="minorHAnsi"/>
          <w:szCs w:val="24"/>
          <w:lang w:val="en" w:eastAsia="en-GB"/>
        </w:rPr>
      </w:pPr>
      <w:r w:rsidRPr="008A7ED9">
        <w:rPr>
          <w:rFonts w:cstheme="minorHAnsi"/>
          <w:sz w:val="20"/>
          <w:lang w:val="en"/>
        </w:rPr>
        <w:t>History of corporate manslaughter: five key cases</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By </w:t>
      </w:r>
      <w:hyperlink r:id="rId5" w:tooltip="Szu Ping Chan" w:history="1">
        <w:proofErr w:type="spellStart"/>
        <w:r w:rsidRPr="008A7ED9">
          <w:rPr>
            <w:rFonts w:eastAsia="Times New Roman" w:cstheme="minorHAnsi"/>
            <w:color w:val="0000FF"/>
            <w:sz w:val="20"/>
            <w:szCs w:val="24"/>
            <w:u w:val="single"/>
            <w:lang w:val="en" w:eastAsia="en-GB"/>
          </w:rPr>
          <w:t>Szu</w:t>
        </w:r>
        <w:proofErr w:type="spellEnd"/>
        <w:r w:rsidRPr="008A7ED9">
          <w:rPr>
            <w:rFonts w:eastAsia="Times New Roman" w:cstheme="minorHAnsi"/>
            <w:color w:val="0000FF"/>
            <w:sz w:val="20"/>
            <w:szCs w:val="24"/>
            <w:u w:val="single"/>
            <w:lang w:val="en" w:eastAsia="en-GB"/>
          </w:rPr>
          <w:t xml:space="preserve"> Ping Chan</w:t>
        </w:r>
      </w:hyperlink>
      <w:proofErr w:type="gramStart"/>
      <w:r w:rsidRPr="008A7ED9">
        <w:rPr>
          <w:rFonts w:eastAsia="Times New Roman" w:cstheme="minorHAnsi"/>
          <w:sz w:val="20"/>
          <w:szCs w:val="24"/>
          <w:lang w:val="en" w:eastAsia="en-GB"/>
        </w:rPr>
        <w:t>,18</w:t>
      </w:r>
      <w:proofErr w:type="gramEnd"/>
      <w:r w:rsidRPr="008A7ED9">
        <w:rPr>
          <w:rFonts w:eastAsia="Times New Roman" w:cstheme="minorHAnsi"/>
          <w:sz w:val="20"/>
          <w:szCs w:val="24"/>
          <w:lang w:val="en" w:eastAsia="en-GB"/>
        </w:rPr>
        <w:t xml:space="preserve"> Feb 2011, Telegraph</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Companies have been open to manslaughter proceedings since 1965. Until then, English law abided by the principle laid out by a 17th century judge, who deemed, "Companies have a soul to damn, but no body to kick".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Here are five examples of corporate cases brought to trial before The Corporate Manslaughter and Corporate Homicide Act 2007 was given Royal Assent. </w:t>
      </w:r>
    </w:p>
    <w:p w:rsidR="008A7ED9" w:rsidRPr="008A7ED9" w:rsidRDefault="008A7ED9" w:rsidP="008A7ED9">
      <w:pPr>
        <w:spacing w:before="100" w:beforeAutospacing="1" w:after="100" w:afterAutospacing="1" w:line="240" w:lineRule="auto"/>
        <w:outlineLvl w:val="2"/>
        <w:rPr>
          <w:rFonts w:eastAsia="Times New Roman" w:cstheme="minorHAnsi"/>
          <w:b/>
          <w:bCs/>
          <w:szCs w:val="27"/>
          <w:lang w:val="en" w:eastAsia="en-GB"/>
        </w:rPr>
      </w:pPr>
      <w:r w:rsidRPr="008A7ED9">
        <w:rPr>
          <w:rFonts w:eastAsia="Times New Roman" w:cstheme="minorHAnsi"/>
          <w:b/>
          <w:bCs/>
          <w:szCs w:val="27"/>
          <w:lang w:val="en" w:eastAsia="en-GB"/>
        </w:rPr>
        <w:t xml:space="preserve">Lyme Bay tragedy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The only successful prosecution of a corporation for manslaughter through gross negligence involved a company owned by one man.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Peter Kite, owner of OLL Limited, was jailed for three years, and his company fined £60,000 following the 1993 Lyme Bay canoeing tragedy in which four teenagers died.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proofErr w:type="spellStart"/>
      <w:r w:rsidRPr="008A7ED9">
        <w:rPr>
          <w:rFonts w:eastAsia="Times New Roman" w:cstheme="minorHAnsi"/>
          <w:sz w:val="20"/>
          <w:szCs w:val="24"/>
          <w:lang w:val="en" w:eastAsia="en-GB"/>
        </w:rPr>
        <w:t>Mr</w:t>
      </w:r>
      <w:proofErr w:type="spellEnd"/>
      <w:r w:rsidRPr="008A7ED9">
        <w:rPr>
          <w:rFonts w:eastAsia="Times New Roman" w:cstheme="minorHAnsi"/>
          <w:sz w:val="20"/>
          <w:szCs w:val="24"/>
          <w:lang w:val="en" w:eastAsia="en-GB"/>
        </w:rPr>
        <w:t xml:space="preserve"> Kite was found guilty because he was directly in charge of the activity </w:t>
      </w:r>
      <w:proofErr w:type="spellStart"/>
      <w:r w:rsidRPr="008A7ED9">
        <w:rPr>
          <w:rFonts w:eastAsia="Times New Roman" w:cstheme="minorHAnsi"/>
          <w:sz w:val="20"/>
          <w:szCs w:val="24"/>
          <w:lang w:val="en" w:eastAsia="en-GB"/>
        </w:rPr>
        <w:t>centre</w:t>
      </w:r>
      <w:proofErr w:type="spellEnd"/>
      <w:r w:rsidRPr="008A7ED9">
        <w:rPr>
          <w:rFonts w:eastAsia="Times New Roman" w:cstheme="minorHAnsi"/>
          <w:sz w:val="20"/>
          <w:szCs w:val="24"/>
          <w:lang w:val="en" w:eastAsia="en-GB"/>
        </w:rPr>
        <w:t xml:space="preserve"> where the children were staying. Joseph </w:t>
      </w:r>
      <w:proofErr w:type="spellStart"/>
      <w:r w:rsidRPr="008A7ED9">
        <w:rPr>
          <w:rFonts w:eastAsia="Times New Roman" w:cstheme="minorHAnsi"/>
          <w:sz w:val="20"/>
          <w:szCs w:val="24"/>
          <w:lang w:val="en" w:eastAsia="en-GB"/>
        </w:rPr>
        <w:t>Stoddart</w:t>
      </w:r>
      <w:proofErr w:type="spellEnd"/>
      <w:r w:rsidRPr="008A7ED9">
        <w:rPr>
          <w:rFonts w:eastAsia="Times New Roman" w:cstheme="minorHAnsi"/>
          <w:sz w:val="20"/>
          <w:szCs w:val="24"/>
          <w:lang w:val="en" w:eastAsia="en-GB"/>
        </w:rPr>
        <w:t xml:space="preserve">, manager of the St Alban's </w:t>
      </w:r>
      <w:proofErr w:type="spellStart"/>
      <w:r w:rsidRPr="008A7ED9">
        <w:rPr>
          <w:rFonts w:eastAsia="Times New Roman" w:cstheme="minorHAnsi"/>
          <w:sz w:val="20"/>
          <w:szCs w:val="24"/>
          <w:lang w:val="en" w:eastAsia="en-GB"/>
        </w:rPr>
        <w:t>centre</w:t>
      </w:r>
      <w:proofErr w:type="spellEnd"/>
      <w:r w:rsidRPr="008A7ED9">
        <w:rPr>
          <w:rFonts w:eastAsia="Times New Roman" w:cstheme="minorHAnsi"/>
          <w:sz w:val="20"/>
          <w:szCs w:val="24"/>
          <w:lang w:val="en" w:eastAsia="en-GB"/>
        </w:rPr>
        <w:t xml:space="preserve"> in Lyme Regis, was found not guilty of the same charges after the jury failed to reach a verdict.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The Court of Appeal later reduced </w:t>
      </w:r>
      <w:proofErr w:type="spellStart"/>
      <w:r w:rsidRPr="008A7ED9">
        <w:rPr>
          <w:rFonts w:eastAsia="Times New Roman" w:cstheme="minorHAnsi"/>
          <w:sz w:val="20"/>
          <w:szCs w:val="24"/>
          <w:lang w:val="en" w:eastAsia="en-GB"/>
        </w:rPr>
        <w:t>Mr</w:t>
      </w:r>
      <w:proofErr w:type="spellEnd"/>
      <w:r w:rsidRPr="008A7ED9">
        <w:rPr>
          <w:rFonts w:eastAsia="Times New Roman" w:cstheme="minorHAnsi"/>
          <w:sz w:val="20"/>
          <w:szCs w:val="24"/>
          <w:lang w:val="en" w:eastAsia="en-GB"/>
        </w:rPr>
        <w:t xml:space="preserve"> Kite's sentence from three years to two, meaning he only spent 14 months in jail. </w:t>
      </w:r>
    </w:p>
    <w:p w:rsidR="008A7ED9" w:rsidRPr="008A7ED9" w:rsidRDefault="008A7ED9" w:rsidP="008A7ED9">
      <w:pPr>
        <w:spacing w:before="100" w:beforeAutospacing="1" w:after="100" w:afterAutospacing="1" w:line="240" w:lineRule="auto"/>
        <w:outlineLvl w:val="2"/>
        <w:rPr>
          <w:rFonts w:eastAsia="Times New Roman" w:cstheme="minorHAnsi"/>
          <w:b/>
          <w:bCs/>
          <w:szCs w:val="27"/>
          <w:lang w:val="en" w:eastAsia="en-GB"/>
        </w:rPr>
      </w:pPr>
      <w:r w:rsidRPr="008A7ED9">
        <w:rPr>
          <w:rFonts w:eastAsia="Times New Roman" w:cstheme="minorHAnsi"/>
          <w:b/>
          <w:bCs/>
          <w:szCs w:val="27"/>
          <w:lang w:val="en" w:eastAsia="en-GB"/>
        </w:rPr>
        <w:t xml:space="preserve">Herald of Free Enterprise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One of the most famous corporate manslaughter cases came to trial during the late 1980s, when the Herald of Free Enterprise - a Townsend </w:t>
      </w:r>
      <w:proofErr w:type="spellStart"/>
      <w:r w:rsidRPr="008A7ED9">
        <w:rPr>
          <w:rFonts w:eastAsia="Times New Roman" w:cstheme="minorHAnsi"/>
          <w:sz w:val="20"/>
          <w:szCs w:val="24"/>
          <w:lang w:val="en" w:eastAsia="en-GB"/>
        </w:rPr>
        <w:t>Thoresen</w:t>
      </w:r>
      <w:proofErr w:type="spellEnd"/>
      <w:r w:rsidRPr="008A7ED9">
        <w:rPr>
          <w:rFonts w:eastAsia="Times New Roman" w:cstheme="minorHAnsi"/>
          <w:sz w:val="20"/>
          <w:szCs w:val="24"/>
          <w:lang w:val="en" w:eastAsia="en-GB"/>
        </w:rPr>
        <w:t xml:space="preserve"> car ferry owned by European Ferries, which later became part of P&amp;O European Ferries - capsized in 1987 off the Belgian coast. A total of 193 lives were lost after the bow doors of the ferry failed to close and the car deck was flooded.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An inquest jury returned verdicts of unlawful killing in 187 cases. However, the corporate manslaughter case failed because the various acts of negligence could not be attributed to any individual who was a "controlling mind". </w:t>
      </w:r>
    </w:p>
    <w:p w:rsidR="008A7ED9" w:rsidRPr="008A7ED9" w:rsidRDefault="008A7ED9" w:rsidP="008A7ED9">
      <w:pPr>
        <w:spacing w:before="100" w:beforeAutospacing="1" w:after="100" w:afterAutospacing="1" w:line="240" w:lineRule="auto"/>
        <w:outlineLvl w:val="2"/>
        <w:rPr>
          <w:rFonts w:eastAsia="Times New Roman" w:cstheme="minorHAnsi"/>
          <w:b/>
          <w:bCs/>
          <w:szCs w:val="27"/>
          <w:lang w:val="en" w:eastAsia="en-GB"/>
        </w:rPr>
      </w:pPr>
      <w:proofErr w:type="spellStart"/>
      <w:r w:rsidRPr="008A7ED9">
        <w:rPr>
          <w:rFonts w:eastAsia="Times New Roman" w:cstheme="minorHAnsi"/>
          <w:b/>
          <w:bCs/>
          <w:szCs w:val="27"/>
          <w:lang w:val="en" w:eastAsia="en-GB"/>
        </w:rPr>
        <w:t>Clapham</w:t>
      </w:r>
      <w:proofErr w:type="spellEnd"/>
      <w:r w:rsidRPr="008A7ED9">
        <w:rPr>
          <w:rFonts w:eastAsia="Times New Roman" w:cstheme="minorHAnsi"/>
          <w:b/>
          <w:bCs/>
          <w:szCs w:val="27"/>
          <w:lang w:val="en" w:eastAsia="en-GB"/>
        </w:rPr>
        <w:t xml:space="preserve"> rail disaster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Britain's worst rail disaster claimed 35 lives after three trains collided on December 12, 1988. The British Rail Board admitted liability for the accident, which was attributed to careless work by signal engineers. As the board was responsible under the "vicarious liability" principle, it paid compensation reaching £1m in some cases, though no-one was prosecuted for manslaughter. </w:t>
      </w:r>
    </w:p>
    <w:p w:rsidR="008A7ED9" w:rsidRPr="008A7ED9" w:rsidRDefault="008A7ED9" w:rsidP="008A7ED9">
      <w:pPr>
        <w:spacing w:before="100" w:beforeAutospacing="1" w:after="100" w:afterAutospacing="1" w:line="240" w:lineRule="auto"/>
        <w:outlineLvl w:val="2"/>
        <w:rPr>
          <w:rFonts w:eastAsia="Times New Roman" w:cstheme="minorHAnsi"/>
          <w:b/>
          <w:bCs/>
          <w:szCs w:val="27"/>
          <w:lang w:val="en" w:eastAsia="en-GB"/>
        </w:rPr>
      </w:pPr>
      <w:r w:rsidRPr="008A7ED9">
        <w:rPr>
          <w:rFonts w:eastAsia="Times New Roman" w:cstheme="minorHAnsi"/>
          <w:b/>
          <w:bCs/>
          <w:szCs w:val="27"/>
          <w:lang w:val="en" w:eastAsia="en-GB"/>
        </w:rPr>
        <w:t xml:space="preserve">Transco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In 2003, the Appeal Court in Edinburgh rejected a charge of "culpable homicide" (the Scottish equivalent of the law in England, now known as "corporate homicide") against the gas pipeline firm Transco after the death of a family of four in </w:t>
      </w:r>
      <w:proofErr w:type="spellStart"/>
      <w:r w:rsidRPr="008A7ED9">
        <w:rPr>
          <w:rFonts w:eastAsia="Times New Roman" w:cstheme="minorHAnsi"/>
          <w:sz w:val="20"/>
          <w:szCs w:val="24"/>
          <w:lang w:val="en" w:eastAsia="en-GB"/>
        </w:rPr>
        <w:t>Larkhall</w:t>
      </w:r>
      <w:proofErr w:type="spellEnd"/>
      <w:r w:rsidRPr="008A7ED9">
        <w:rPr>
          <w:rFonts w:eastAsia="Times New Roman" w:cstheme="minorHAnsi"/>
          <w:sz w:val="20"/>
          <w:szCs w:val="24"/>
          <w:lang w:val="en" w:eastAsia="en-GB"/>
        </w:rPr>
        <w:t xml:space="preserve"> in 1999.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Separate charges were brought under Sections 3 and 33 of the Health and Safety at Work Act 1974, and the company was fined a record £15m. </w:t>
      </w:r>
    </w:p>
    <w:p w:rsidR="008A7ED9" w:rsidRPr="008A7ED9" w:rsidRDefault="008A7ED9" w:rsidP="008A7ED9">
      <w:pPr>
        <w:spacing w:before="100" w:beforeAutospacing="1" w:after="100" w:afterAutospacing="1" w:line="240" w:lineRule="auto"/>
        <w:outlineLvl w:val="2"/>
        <w:rPr>
          <w:rFonts w:eastAsia="Times New Roman" w:cstheme="minorHAnsi"/>
          <w:b/>
          <w:bCs/>
          <w:szCs w:val="27"/>
          <w:lang w:val="en" w:eastAsia="en-GB"/>
        </w:rPr>
      </w:pPr>
      <w:r w:rsidRPr="008A7ED9">
        <w:rPr>
          <w:rFonts w:eastAsia="Times New Roman" w:cstheme="minorHAnsi"/>
          <w:b/>
          <w:bCs/>
          <w:szCs w:val="27"/>
          <w:lang w:val="en" w:eastAsia="en-GB"/>
        </w:rPr>
        <w:t xml:space="preserve">Hatfield disaster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In 2005, executives of Network Rail and </w:t>
      </w:r>
      <w:proofErr w:type="gramStart"/>
      <w:r w:rsidRPr="008A7ED9">
        <w:rPr>
          <w:rFonts w:eastAsia="Times New Roman" w:cstheme="minorHAnsi"/>
          <w:sz w:val="20"/>
          <w:szCs w:val="24"/>
          <w:lang w:val="en" w:eastAsia="en-GB"/>
        </w:rPr>
        <w:t>maintenance company</w:t>
      </w:r>
      <w:proofErr w:type="gramEnd"/>
      <w:r w:rsidRPr="008A7ED9">
        <w:rPr>
          <w:rFonts w:eastAsia="Times New Roman" w:cstheme="minorHAnsi"/>
          <w:sz w:val="20"/>
          <w:szCs w:val="24"/>
          <w:lang w:val="en" w:eastAsia="en-GB"/>
        </w:rPr>
        <w:t xml:space="preserve"> Balfour Beatty were cleared of individual charges over the October 2000 Hatfield rail crash, which claimed four lives. </w:t>
      </w:r>
    </w:p>
    <w:p w:rsidR="008A7ED9" w:rsidRPr="008A7ED9" w:rsidRDefault="008A7ED9" w:rsidP="008A7ED9">
      <w:pPr>
        <w:spacing w:before="100" w:beforeAutospacing="1" w:after="100" w:afterAutospacing="1" w:line="240" w:lineRule="auto"/>
        <w:rPr>
          <w:rFonts w:eastAsia="Times New Roman" w:cstheme="minorHAnsi"/>
          <w:sz w:val="20"/>
          <w:szCs w:val="24"/>
          <w:lang w:val="en" w:eastAsia="en-GB"/>
        </w:rPr>
      </w:pPr>
      <w:r w:rsidRPr="008A7ED9">
        <w:rPr>
          <w:rFonts w:eastAsia="Times New Roman" w:cstheme="minorHAnsi"/>
          <w:sz w:val="20"/>
          <w:szCs w:val="24"/>
          <w:lang w:val="en" w:eastAsia="en-GB"/>
        </w:rPr>
        <w:t xml:space="preserve">However, after an eight-month Old Bailey trial in 2005, Balfour Beatty was fined £10m for breaching health and safety regulations (later reduced to £7.5m). Network Rail, which took over from </w:t>
      </w:r>
      <w:proofErr w:type="spellStart"/>
      <w:r w:rsidRPr="008A7ED9">
        <w:rPr>
          <w:rFonts w:eastAsia="Times New Roman" w:cstheme="minorHAnsi"/>
          <w:sz w:val="20"/>
          <w:szCs w:val="24"/>
          <w:lang w:val="en" w:eastAsia="en-GB"/>
        </w:rPr>
        <w:t>Railtrack</w:t>
      </w:r>
      <w:proofErr w:type="spellEnd"/>
      <w:r w:rsidRPr="008A7ED9">
        <w:rPr>
          <w:rFonts w:eastAsia="Times New Roman" w:cstheme="minorHAnsi"/>
          <w:sz w:val="20"/>
          <w:szCs w:val="24"/>
          <w:lang w:val="en" w:eastAsia="en-GB"/>
        </w:rPr>
        <w:t xml:space="preserve"> in 2002, was fined £3.5m. </w:t>
      </w:r>
      <w:bookmarkStart w:id="0" w:name="_GoBack"/>
      <w:bookmarkEnd w:id="0"/>
    </w:p>
    <w:p w:rsidR="008878DE" w:rsidRPr="008A7ED9" w:rsidRDefault="008878DE">
      <w:pPr>
        <w:rPr>
          <w:sz w:val="20"/>
        </w:rPr>
      </w:pPr>
    </w:p>
    <w:sectPr w:rsidR="008878DE" w:rsidRPr="008A7ED9" w:rsidSect="008A7ED9">
      <w:pgSz w:w="11906" w:h="16838"/>
      <w:pgMar w:top="567"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4860"/>
    <w:multiLevelType w:val="multilevel"/>
    <w:tmpl w:val="B2E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D9"/>
    <w:rsid w:val="008878DE"/>
    <w:rsid w:val="008A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9C1F"/>
  <w15:chartTrackingRefBased/>
  <w15:docId w15:val="{3C5483B1-553C-4EF6-BEE3-85ED06C7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727">
      <w:bodyDiv w:val="1"/>
      <w:marLeft w:val="0"/>
      <w:marRight w:val="0"/>
      <w:marTop w:val="3330"/>
      <w:marBottom w:val="0"/>
      <w:divBdr>
        <w:top w:val="none" w:sz="0" w:space="0" w:color="auto"/>
        <w:left w:val="none" w:sz="0" w:space="0" w:color="auto"/>
        <w:bottom w:val="none" w:sz="0" w:space="0" w:color="auto"/>
        <w:right w:val="none" w:sz="0" w:space="0" w:color="auto"/>
      </w:divBdr>
      <w:divsChild>
        <w:div w:id="2089112211">
          <w:marLeft w:val="0"/>
          <w:marRight w:val="0"/>
          <w:marTop w:val="0"/>
          <w:marBottom w:val="0"/>
          <w:divBdr>
            <w:top w:val="none" w:sz="0" w:space="0" w:color="auto"/>
            <w:left w:val="none" w:sz="0" w:space="0" w:color="auto"/>
            <w:bottom w:val="none" w:sz="0" w:space="0" w:color="auto"/>
            <w:right w:val="none" w:sz="0" w:space="0" w:color="auto"/>
          </w:divBdr>
          <w:divsChild>
            <w:div w:id="1847670140">
              <w:marLeft w:val="0"/>
              <w:marRight w:val="0"/>
              <w:marTop w:val="0"/>
              <w:marBottom w:val="0"/>
              <w:divBdr>
                <w:top w:val="none" w:sz="0" w:space="0" w:color="auto"/>
                <w:left w:val="none" w:sz="0" w:space="0" w:color="auto"/>
                <w:bottom w:val="none" w:sz="0" w:space="0" w:color="auto"/>
                <w:right w:val="none" w:sz="0" w:space="0" w:color="auto"/>
              </w:divBdr>
              <w:divsChild>
                <w:div w:id="810371497">
                  <w:marLeft w:val="0"/>
                  <w:marRight w:val="0"/>
                  <w:marTop w:val="0"/>
                  <w:marBottom w:val="0"/>
                  <w:divBdr>
                    <w:top w:val="none" w:sz="0" w:space="0" w:color="auto"/>
                    <w:left w:val="none" w:sz="0" w:space="0" w:color="auto"/>
                    <w:bottom w:val="none" w:sz="0" w:space="0" w:color="auto"/>
                    <w:right w:val="none" w:sz="0" w:space="0" w:color="auto"/>
                  </w:divBdr>
                  <w:divsChild>
                    <w:div w:id="1768885140">
                      <w:marLeft w:val="0"/>
                      <w:marRight w:val="0"/>
                      <w:marTop w:val="0"/>
                      <w:marBottom w:val="0"/>
                      <w:divBdr>
                        <w:top w:val="none" w:sz="0" w:space="0" w:color="auto"/>
                        <w:left w:val="none" w:sz="0" w:space="0" w:color="auto"/>
                        <w:bottom w:val="none" w:sz="0" w:space="0" w:color="auto"/>
                        <w:right w:val="none" w:sz="0" w:space="0" w:color="auto"/>
                      </w:divBdr>
                      <w:divsChild>
                        <w:div w:id="1073628614">
                          <w:marLeft w:val="0"/>
                          <w:marRight w:val="0"/>
                          <w:marTop w:val="0"/>
                          <w:marBottom w:val="0"/>
                          <w:divBdr>
                            <w:top w:val="none" w:sz="0" w:space="0" w:color="auto"/>
                            <w:left w:val="none" w:sz="0" w:space="0" w:color="auto"/>
                            <w:bottom w:val="none" w:sz="0" w:space="0" w:color="auto"/>
                            <w:right w:val="none" w:sz="0" w:space="0" w:color="auto"/>
                          </w:divBdr>
                          <w:divsChild>
                            <w:div w:id="1424378256">
                              <w:marLeft w:val="0"/>
                              <w:marRight w:val="0"/>
                              <w:marTop w:val="0"/>
                              <w:marBottom w:val="0"/>
                              <w:divBdr>
                                <w:top w:val="none" w:sz="0" w:space="0" w:color="auto"/>
                                <w:left w:val="none" w:sz="0" w:space="0" w:color="auto"/>
                                <w:bottom w:val="none" w:sz="0" w:space="0" w:color="auto"/>
                                <w:right w:val="none" w:sz="0" w:space="0" w:color="auto"/>
                              </w:divBdr>
                              <w:divsChild>
                                <w:div w:id="673266414">
                                  <w:marLeft w:val="0"/>
                                  <w:marRight w:val="0"/>
                                  <w:marTop w:val="0"/>
                                  <w:marBottom w:val="0"/>
                                  <w:divBdr>
                                    <w:top w:val="none" w:sz="0" w:space="0" w:color="auto"/>
                                    <w:left w:val="none" w:sz="0" w:space="0" w:color="auto"/>
                                    <w:bottom w:val="none" w:sz="0" w:space="0" w:color="auto"/>
                                    <w:right w:val="none" w:sz="0" w:space="0" w:color="auto"/>
                                  </w:divBdr>
                                  <w:divsChild>
                                    <w:div w:id="1739672043">
                                      <w:marLeft w:val="0"/>
                                      <w:marRight w:val="0"/>
                                      <w:marTop w:val="0"/>
                                      <w:marBottom w:val="0"/>
                                      <w:divBdr>
                                        <w:top w:val="none" w:sz="0" w:space="0" w:color="auto"/>
                                        <w:left w:val="none" w:sz="0" w:space="0" w:color="auto"/>
                                        <w:bottom w:val="none" w:sz="0" w:space="0" w:color="auto"/>
                                        <w:right w:val="none" w:sz="0" w:space="0" w:color="auto"/>
                                      </w:divBdr>
                                    </w:div>
                                    <w:div w:id="1771511694">
                                      <w:marLeft w:val="0"/>
                                      <w:marRight w:val="0"/>
                                      <w:marTop w:val="0"/>
                                      <w:marBottom w:val="0"/>
                                      <w:divBdr>
                                        <w:top w:val="none" w:sz="0" w:space="0" w:color="auto"/>
                                        <w:left w:val="none" w:sz="0" w:space="0" w:color="auto"/>
                                        <w:bottom w:val="none" w:sz="0" w:space="0" w:color="auto"/>
                                        <w:right w:val="none" w:sz="0" w:space="0" w:color="auto"/>
                                      </w:divBdr>
                                    </w:div>
                                  </w:divsChild>
                                </w:div>
                                <w:div w:id="2130707078">
                                  <w:marLeft w:val="0"/>
                                  <w:marRight w:val="0"/>
                                  <w:marTop w:val="0"/>
                                  <w:marBottom w:val="0"/>
                                  <w:divBdr>
                                    <w:top w:val="none" w:sz="0" w:space="0" w:color="auto"/>
                                    <w:left w:val="none" w:sz="0" w:space="0" w:color="auto"/>
                                    <w:bottom w:val="none" w:sz="0" w:space="0" w:color="auto"/>
                                    <w:right w:val="none" w:sz="0" w:space="0" w:color="auto"/>
                                  </w:divBdr>
                                  <w:divsChild>
                                    <w:div w:id="1692148901">
                                      <w:marLeft w:val="0"/>
                                      <w:marRight w:val="0"/>
                                      <w:marTop w:val="0"/>
                                      <w:marBottom w:val="0"/>
                                      <w:divBdr>
                                        <w:top w:val="none" w:sz="0" w:space="0" w:color="auto"/>
                                        <w:left w:val="none" w:sz="0" w:space="0" w:color="auto"/>
                                        <w:bottom w:val="none" w:sz="0" w:space="0" w:color="auto"/>
                                        <w:right w:val="none" w:sz="0" w:space="0" w:color="auto"/>
                                      </w:divBdr>
                                    </w:div>
                                    <w:div w:id="1431464852">
                                      <w:marLeft w:val="0"/>
                                      <w:marRight w:val="0"/>
                                      <w:marTop w:val="0"/>
                                      <w:marBottom w:val="0"/>
                                      <w:divBdr>
                                        <w:top w:val="none" w:sz="0" w:space="0" w:color="auto"/>
                                        <w:left w:val="none" w:sz="0" w:space="0" w:color="auto"/>
                                        <w:bottom w:val="none" w:sz="0" w:space="0" w:color="auto"/>
                                        <w:right w:val="none" w:sz="0" w:space="0" w:color="auto"/>
                                      </w:divBdr>
                                    </w:div>
                                    <w:div w:id="766076049">
                                      <w:marLeft w:val="0"/>
                                      <w:marRight w:val="0"/>
                                      <w:marTop w:val="0"/>
                                      <w:marBottom w:val="0"/>
                                      <w:divBdr>
                                        <w:top w:val="none" w:sz="0" w:space="0" w:color="auto"/>
                                        <w:left w:val="none" w:sz="0" w:space="0" w:color="auto"/>
                                        <w:bottom w:val="none" w:sz="0" w:space="0" w:color="auto"/>
                                        <w:right w:val="none" w:sz="0" w:space="0" w:color="auto"/>
                                      </w:divBdr>
                                    </w:div>
                                    <w:div w:id="757099611">
                                      <w:marLeft w:val="0"/>
                                      <w:marRight w:val="0"/>
                                      <w:marTop w:val="0"/>
                                      <w:marBottom w:val="0"/>
                                      <w:divBdr>
                                        <w:top w:val="none" w:sz="0" w:space="0" w:color="auto"/>
                                        <w:left w:val="none" w:sz="0" w:space="0" w:color="auto"/>
                                        <w:bottom w:val="none" w:sz="0" w:space="0" w:color="auto"/>
                                        <w:right w:val="none" w:sz="0" w:space="0" w:color="auto"/>
                                      </w:divBdr>
                                    </w:div>
                                    <w:div w:id="294870464">
                                      <w:marLeft w:val="0"/>
                                      <w:marRight w:val="0"/>
                                      <w:marTop w:val="0"/>
                                      <w:marBottom w:val="0"/>
                                      <w:divBdr>
                                        <w:top w:val="none" w:sz="0" w:space="0" w:color="auto"/>
                                        <w:left w:val="none" w:sz="0" w:space="0" w:color="auto"/>
                                        <w:bottom w:val="none" w:sz="0" w:space="0" w:color="auto"/>
                                        <w:right w:val="none" w:sz="0" w:space="0" w:color="auto"/>
                                      </w:divBdr>
                                    </w:div>
                                    <w:div w:id="819035147">
                                      <w:marLeft w:val="0"/>
                                      <w:marRight w:val="0"/>
                                      <w:marTop w:val="0"/>
                                      <w:marBottom w:val="0"/>
                                      <w:divBdr>
                                        <w:top w:val="none" w:sz="0" w:space="0" w:color="auto"/>
                                        <w:left w:val="none" w:sz="0" w:space="0" w:color="auto"/>
                                        <w:bottom w:val="none" w:sz="0" w:space="0" w:color="auto"/>
                                        <w:right w:val="none" w:sz="0" w:space="0" w:color="auto"/>
                                      </w:divBdr>
                                      <w:divsChild>
                                        <w:div w:id="888414631">
                                          <w:marLeft w:val="0"/>
                                          <w:marRight w:val="0"/>
                                          <w:marTop w:val="0"/>
                                          <w:marBottom w:val="0"/>
                                          <w:divBdr>
                                            <w:top w:val="none" w:sz="0" w:space="0" w:color="auto"/>
                                            <w:left w:val="none" w:sz="0" w:space="0" w:color="auto"/>
                                            <w:bottom w:val="none" w:sz="0" w:space="0" w:color="auto"/>
                                            <w:right w:val="none" w:sz="0" w:space="0" w:color="auto"/>
                                          </w:divBdr>
                                        </w:div>
                                      </w:divsChild>
                                    </w:div>
                                    <w:div w:id="1648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legraph.co.uk/journalists/szu-ping-c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CAC9A34C</Template>
  <TotalTime>2</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cp:lastPrinted>2019-10-09T07:46:00Z</cp:lastPrinted>
  <dcterms:created xsi:type="dcterms:W3CDTF">2019-10-09T07:44:00Z</dcterms:created>
  <dcterms:modified xsi:type="dcterms:W3CDTF">2019-10-09T07:46:00Z</dcterms:modified>
</cp:coreProperties>
</file>