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8EE9F" w14:textId="3AB82846" w:rsidR="00514F1A" w:rsidRPr="006979B0" w:rsidRDefault="006979B0">
      <w:pPr>
        <w:rPr>
          <w:b/>
          <w:bCs/>
          <w:u w:val="single"/>
        </w:rPr>
      </w:pPr>
      <w:r w:rsidRPr="006979B0">
        <w:rPr>
          <w:b/>
          <w:bCs/>
          <w:u w:val="single"/>
        </w:rPr>
        <w:t>Smoking – Biological Model</w:t>
      </w:r>
    </w:p>
    <w:p w14:paraId="45EDCCD6" w14:textId="4ED80B8D" w:rsidR="006979B0" w:rsidRDefault="006979B0"/>
    <w:p w14:paraId="52B671ED" w14:textId="4A6B941C" w:rsidR="006979B0" w:rsidRPr="006979B0" w:rsidRDefault="006979B0">
      <w:pPr>
        <w:rPr>
          <w:b/>
          <w:bCs/>
        </w:rPr>
      </w:pPr>
      <w:r w:rsidRPr="006979B0">
        <w:rPr>
          <w:b/>
          <w:bCs/>
        </w:rPr>
        <w:t>Initiation</w:t>
      </w:r>
    </w:p>
    <w:p w14:paraId="530E729D" w14:textId="77777777" w:rsidR="006979B0" w:rsidRDefault="006979B0" w:rsidP="006979B0"/>
    <w:p w14:paraId="57C83537" w14:textId="0E5E4F22" w:rsidR="006979B0" w:rsidRDefault="006979B0" w:rsidP="006979B0">
      <w:r>
        <w:t xml:space="preserve">There is evidence that the reason people take up smoking in the first place may well be something to do with their genetics. </w:t>
      </w:r>
    </w:p>
    <w:p w14:paraId="36AE5107" w14:textId="749C34E7" w:rsidR="006979B0" w:rsidRDefault="006979B0" w:rsidP="006979B0"/>
    <w:p w14:paraId="1C1DC479" w14:textId="522FCE32" w:rsidR="006979B0" w:rsidRDefault="006979B0" w:rsidP="006979B0">
      <w:r>
        <w:t xml:space="preserve">For example, </w:t>
      </w:r>
      <w:proofErr w:type="spellStart"/>
      <w:r>
        <w:t>Lerman</w:t>
      </w:r>
      <w:proofErr w:type="spellEnd"/>
      <w:r>
        <w:t xml:space="preserve"> et al (1999) have shown that people with a </w:t>
      </w:r>
      <w:proofErr w:type="gramStart"/>
      <w:r>
        <w:t>particular gene</w:t>
      </w:r>
      <w:proofErr w:type="gramEnd"/>
      <w:r>
        <w:t xml:space="preserve"> are less likely to take up smoking than those without it. The gene, called SLC6A3-9, works in the dopamine system.</w:t>
      </w:r>
      <w:r>
        <w:t xml:space="preserve"> Dopamine is a neurotransmitter which is associated with reward/pleasure. </w:t>
      </w:r>
    </w:p>
    <w:p w14:paraId="581A5DA1" w14:textId="0686C940" w:rsidR="006979B0" w:rsidRDefault="006979B0" w:rsidP="006979B0"/>
    <w:p w14:paraId="7BE354F8" w14:textId="4536BD33" w:rsidR="006979B0" w:rsidRDefault="004156F1" w:rsidP="006979B0">
      <w:r>
        <w:t>Wang and Li (2009) conducted a literature review and found 16 genes reported to be associated with smoking initiation, 5 of these genes are involved with nicotine receptors (</w:t>
      </w:r>
      <w:proofErr w:type="spellStart"/>
      <w:r>
        <w:t>nAChR</w:t>
      </w:r>
      <w:proofErr w:type="spellEnd"/>
      <w:r>
        <w:t xml:space="preserve">) on neurons and 2 of the genes are involved with dopamine receptors on neurons. </w:t>
      </w:r>
      <w:r w:rsidR="006979B0">
        <w:t xml:space="preserve">Stefansson et al (2010), in a study of over 140,000 participants reported the existence of three genetic mutations that appear to increase the number of cigarettes smokers consume each day. </w:t>
      </w:r>
      <w:r>
        <w:t xml:space="preserve">Furthermore, </w:t>
      </w:r>
      <w:proofErr w:type="spellStart"/>
      <w:r>
        <w:t>Maes</w:t>
      </w:r>
      <w:proofErr w:type="spellEnd"/>
      <w:r>
        <w:t xml:space="preserve"> et al (2004) found ~75% heritability rates for tobacco initiation. </w:t>
      </w:r>
      <w:r w:rsidR="006979B0">
        <w:t xml:space="preserve">This </w:t>
      </w:r>
      <w:r>
        <w:t xml:space="preserve">research </w:t>
      </w:r>
      <w:r w:rsidR="006979B0">
        <w:t>suggests that genes may</w:t>
      </w:r>
      <w:r w:rsidR="006979B0">
        <w:t xml:space="preserve"> m</w:t>
      </w:r>
      <w:r w:rsidR="006979B0">
        <w:t>ake some people more susceptible to addiction</w:t>
      </w:r>
      <w:r w:rsidR="006979B0">
        <w:t>.</w:t>
      </w:r>
    </w:p>
    <w:p w14:paraId="2BE53642" w14:textId="57C3B3D1" w:rsidR="006979B0" w:rsidRDefault="006979B0" w:rsidP="006979B0"/>
    <w:p w14:paraId="32A8CA62" w14:textId="027BD96D" w:rsidR="004156F1" w:rsidRDefault="004156F1" w:rsidP="004156F1">
      <w:r>
        <w:t xml:space="preserve">However, </w:t>
      </w:r>
      <w:r w:rsidRPr="006979B0">
        <w:t>genes alone cannot explain addiction</w:t>
      </w:r>
      <w:r>
        <w:t>.</w:t>
      </w:r>
      <w:r>
        <w:t xml:space="preserve"> </w:t>
      </w:r>
      <w:r w:rsidRPr="006979B0">
        <w:t>Genes, therefore, can only provide a predisposition to an addiction.</w:t>
      </w:r>
    </w:p>
    <w:p w14:paraId="607AC752" w14:textId="75EBB579" w:rsidR="006979B0" w:rsidRDefault="006979B0"/>
    <w:p w14:paraId="0ED230C1" w14:textId="6E9DD4EC" w:rsidR="006979B0" w:rsidRPr="006979B0" w:rsidRDefault="008F1BB7">
      <w:pPr>
        <w:rPr>
          <w:b/>
          <w:bCs/>
        </w:rPr>
      </w:pPr>
      <w:r w:rsidRPr="006D60DE">
        <w:rPr>
          <w:b/>
          <w:bCs/>
          <w:noProof/>
        </w:rPr>
        <mc:AlternateContent>
          <mc:Choice Requires="wps">
            <w:drawing>
              <wp:anchor distT="45720" distB="45720" distL="114300" distR="114300" simplePos="0" relativeHeight="251659264" behindDoc="0" locked="0" layoutInCell="1" allowOverlap="1" wp14:anchorId="692C68F1" wp14:editId="5CB74A32">
                <wp:simplePos x="0" y="0"/>
                <wp:positionH relativeFrom="column">
                  <wp:posOffset>4009390</wp:posOffset>
                </wp:positionH>
                <wp:positionV relativeFrom="paragraph">
                  <wp:posOffset>175895</wp:posOffset>
                </wp:positionV>
                <wp:extent cx="2360930" cy="3726180"/>
                <wp:effectExtent l="0" t="0" r="279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26180"/>
                        </a:xfrm>
                        <a:prstGeom prst="rect">
                          <a:avLst/>
                        </a:prstGeom>
                        <a:solidFill>
                          <a:srgbClr val="FFFFFF"/>
                        </a:solidFill>
                        <a:ln w="9525">
                          <a:solidFill>
                            <a:srgbClr val="000000"/>
                          </a:solidFill>
                          <a:miter lim="800000"/>
                          <a:headEnd/>
                          <a:tailEnd/>
                        </a:ln>
                      </wps:spPr>
                      <wps:txbx>
                        <w:txbxContent>
                          <w:p w14:paraId="61D10BF9" w14:textId="4CC348B4" w:rsidR="006D60DE" w:rsidRDefault="006D60DE">
                            <w:pPr>
                              <w:rPr>
                                <w:noProof/>
                              </w:rPr>
                            </w:pPr>
                            <w:r>
                              <w:rPr>
                                <w:noProof/>
                              </w:rPr>
                              <w:drawing>
                                <wp:inline distT="0" distB="0" distL="0" distR="0" wp14:anchorId="7AC900EC" wp14:editId="64001BA9">
                                  <wp:extent cx="2438400" cy="2148175"/>
                                  <wp:effectExtent l="0" t="0" r="0" b="5080"/>
                                  <wp:docPr id="1" name="Picture 1" descr="Picture"/>
                                  <wp:cNvGraphicFramePr/>
                                  <a:graphic xmlns:a="http://schemas.openxmlformats.org/drawingml/2006/main">
                                    <a:graphicData uri="http://schemas.openxmlformats.org/drawingml/2006/picture">
                                      <pic:pic xmlns:pic="http://schemas.openxmlformats.org/drawingml/2006/picture">
                                        <pic:nvPicPr>
                                          <pic:cNvPr id="1" name="Picture 1" descr="Pictur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148175"/>
                                          </a:xfrm>
                                          <a:prstGeom prst="rect">
                                            <a:avLst/>
                                          </a:prstGeom>
                                          <a:noFill/>
                                          <a:ln>
                                            <a:noFill/>
                                          </a:ln>
                                        </pic:spPr>
                                      </pic:pic>
                                    </a:graphicData>
                                  </a:graphic>
                                </wp:inline>
                              </w:drawing>
                            </w:r>
                          </w:p>
                          <w:p w14:paraId="000F1F5F" w14:textId="77777777" w:rsidR="006D60DE" w:rsidRDefault="006D60DE"/>
                          <w:p w14:paraId="5D545661" w14:textId="443795B5" w:rsidR="006D60DE" w:rsidRDefault="006D60DE">
                            <w:r>
                              <w:t xml:space="preserve">The picture above shows three areas of the mesolimbic system in the brain. </w:t>
                            </w:r>
                          </w:p>
                          <w:p w14:paraId="23772B27" w14:textId="2DBF4E50" w:rsidR="006D60DE" w:rsidRDefault="006D60DE"/>
                          <w:p w14:paraId="1F2C100E" w14:textId="05518953" w:rsidR="006D60DE" w:rsidRDefault="006D60DE">
                            <w:r>
                              <w:t xml:space="preserve">The </w:t>
                            </w:r>
                            <w:r w:rsidR="008F1BB7">
                              <w:t xml:space="preserve">Nucleus </w:t>
                            </w:r>
                            <w:proofErr w:type="spellStart"/>
                            <w:r w:rsidR="008F1BB7">
                              <w:t>Accumbens</w:t>
                            </w:r>
                            <w:proofErr w:type="spellEnd"/>
                            <w:r w:rsidR="008F1BB7">
                              <w:t xml:space="preserve"> (</w:t>
                            </w:r>
                            <w:proofErr w:type="spellStart"/>
                            <w:r w:rsidR="008F1BB7">
                              <w:t>NAcc</w:t>
                            </w:r>
                            <w:proofErr w:type="spellEnd"/>
                            <w:r w:rsidR="008F1BB7">
                              <w:t xml:space="preserve">) is the reward and pleasure centre of the brain.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2C68F1" id="_x0000_t202" coordsize="21600,21600" o:spt="202" path="m,l,21600r21600,l21600,xe">
                <v:stroke joinstyle="miter"/>
                <v:path gradientshapeok="t" o:connecttype="rect"/>
              </v:shapetype>
              <v:shape id="Text Box 2" o:spid="_x0000_s1026" type="#_x0000_t202" style="position:absolute;margin-left:315.7pt;margin-top:13.85pt;width:185.9pt;height:293.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">
                <v:textbox>
                  <w:txbxContent>
                    <w:p w14:paraId="61D10BF9" w14:textId="4CC348B4" w:rsidR="006D60DE" w:rsidRDefault="006D60DE">
                      <w:pPr>
                        <w:rPr>
                          <w:noProof/>
                        </w:rPr>
                      </w:pPr>
                      <w:r>
                        <w:rPr>
                          <w:noProof/>
                        </w:rPr>
                        <w:drawing>
                          <wp:inline distT="0" distB="0" distL="0" distR="0" wp14:anchorId="7AC900EC" wp14:editId="64001BA9">
                            <wp:extent cx="2438400" cy="2148175"/>
                            <wp:effectExtent l="0" t="0" r="0" b="5080"/>
                            <wp:docPr id="1" name="Picture 1" descr="Picture"/>
                            <wp:cNvGraphicFramePr/>
                            <a:graphic xmlns:a="http://schemas.openxmlformats.org/drawingml/2006/main">
                              <a:graphicData uri="http://schemas.openxmlformats.org/drawingml/2006/picture">
                                <pic:pic xmlns:pic="http://schemas.openxmlformats.org/drawingml/2006/picture">
                                  <pic:nvPicPr>
                                    <pic:cNvPr id="1" name="Picture 1" descr="Pictur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148175"/>
                                    </a:xfrm>
                                    <a:prstGeom prst="rect">
                                      <a:avLst/>
                                    </a:prstGeom>
                                    <a:noFill/>
                                    <a:ln>
                                      <a:noFill/>
                                    </a:ln>
                                  </pic:spPr>
                                </pic:pic>
                              </a:graphicData>
                            </a:graphic>
                          </wp:inline>
                        </w:drawing>
                      </w:r>
                    </w:p>
                    <w:p w14:paraId="000F1F5F" w14:textId="77777777" w:rsidR="006D60DE" w:rsidRDefault="006D60DE"/>
                    <w:p w14:paraId="5D545661" w14:textId="443795B5" w:rsidR="006D60DE" w:rsidRDefault="006D60DE">
                      <w:r>
                        <w:t xml:space="preserve">The picture above shows three areas of the mesolimbic system in the brain. </w:t>
                      </w:r>
                    </w:p>
                    <w:p w14:paraId="23772B27" w14:textId="2DBF4E50" w:rsidR="006D60DE" w:rsidRDefault="006D60DE"/>
                    <w:p w14:paraId="1F2C100E" w14:textId="05518953" w:rsidR="006D60DE" w:rsidRDefault="006D60DE">
                      <w:r>
                        <w:t xml:space="preserve">The </w:t>
                      </w:r>
                      <w:r w:rsidR="008F1BB7">
                        <w:t xml:space="preserve">Nucleus </w:t>
                      </w:r>
                      <w:proofErr w:type="spellStart"/>
                      <w:r w:rsidR="008F1BB7">
                        <w:t>Accumbens</w:t>
                      </w:r>
                      <w:proofErr w:type="spellEnd"/>
                      <w:r w:rsidR="008F1BB7">
                        <w:t xml:space="preserve"> (</w:t>
                      </w:r>
                      <w:proofErr w:type="spellStart"/>
                      <w:r w:rsidR="008F1BB7">
                        <w:t>NAcc</w:t>
                      </w:r>
                      <w:proofErr w:type="spellEnd"/>
                      <w:r w:rsidR="008F1BB7">
                        <w:t xml:space="preserve">) is the reward and pleasure centre of the brain. </w:t>
                      </w:r>
                    </w:p>
                  </w:txbxContent>
                </v:textbox>
                <w10:wrap type="square"/>
              </v:shape>
            </w:pict>
          </mc:Fallback>
        </mc:AlternateContent>
      </w:r>
      <w:r w:rsidR="006979B0" w:rsidRPr="006979B0">
        <w:rPr>
          <w:b/>
          <w:bCs/>
        </w:rPr>
        <w:t>Maintenance</w:t>
      </w:r>
    </w:p>
    <w:p w14:paraId="6317D3F0" w14:textId="1849BE52" w:rsidR="006979B0" w:rsidRDefault="006979B0"/>
    <w:p w14:paraId="4299D989" w14:textId="4F5F82F6" w:rsidR="006D60DE" w:rsidRDefault="004156F1">
      <w:r>
        <w:t xml:space="preserve">The </w:t>
      </w:r>
      <w:r w:rsidRPr="004156F1">
        <w:t>Desensitization Hypothesis (Dani &amp; Heinemann</w:t>
      </w:r>
      <w:r w:rsidR="00EF2F61">
        <w:t xml:space="preserve">, </w:t>
      </w:r>
      <w:r w:rsidRPr="004156F1">
        <w:t>1996)</w:t>
      </w:r>
      <w:r>
        <w:t xml:space="preserve"> focuses on our brain chemistry</w:t>
      </w:r>
      <w:r w:rsidR="00EF2F61">
        <w:t xml:space="preserve"> –</w:t>
      </w:r>
      <w:r>
        <w:t xml:space="preserve"> specifically</w:t>
      </w:r>
      <w:r w:rsidR="00EF2F61">
        <w:t>,</w:t>
      </w:r>
      <w:r>
        <w:t xml:space="preserve"> on neurons that produce the neurotransmitter acetylcholine (</w:t>
      </w:r>
      <w:proofErr w:type="spellStart"/>
      <w:r>
        <w:t>ACh</w:t>
      </w:r>
      <w:proofErr w:type="spellEnd"/>
      <w:r>
        <w:t xml:space="preserve">) and </w:t>
      </w:r>
      <w:proofErr w:type="spellStart"/>
      <w:r>
        <w:t>ACh</w:t>
      </w:r>
      <w:proofErr w:type="spellEnd"/>
      <w:r>
        <w:t xml:space="preserve"> receptors on neurons. A</w:t>
      </w:r>
      <w:r w:rsidRPr="004156F1">
        <w:t xml:space="preserve">s with all receptors, the receptors for acetyl choline come in different </w:t>
      </w:r>
      <w:r w:rsidR="006D60DE">
        <w:t>‘</w:t>
      </w:r>
      <w:r w:rsidRPr="004156F1">
        <w:t>flavours</w:t>
      </w:r>
      <w:r w:rsidR="006D60DE">
        <w:t>’</w:t>
      </w:r>
      <w:r w:rsidRPr="004156F1">
        <w:t xml:space="preserve">. One </w:t>
      </w:r>
      <w:r w:rsidR="006D60DE">
        <w:t xml:space="preserve">subtype of </w:t>
      </w:r>
      <w:proofErr w:type="spellStart"/>
      <w:r w:rsidR="006D60DE">
        <w:t>ACh</w:t>
      </w:r>
      <w:proofErr w:type="spellEnd"/>
      <w:r w:rsidR="006D60DE">
        <w:t xml:space="preserve"> receptor in particular</w:t>
      </w:r>
      <w:r w:rsidRPr="004156F1">
        <w:t xml:space="preserve"> in particular, the nicotine acetylcholine receptor (</w:t>
      </w:r>
      <w:proofErr w:type="spellStart"/>
      <w:r w:rsidRPr="004156F1">
        <w:t>nAChR</w:t>
      </w:r>
      <w:proofErr w:type="spellEnd"/>
      <w:r w:rsidRPr="004156F1">
        <w:t xml:space="preserve">) is crucial in understanding what follows. </w:t>
      </w:r>
      <w:r w:rsidR="006D60DE">
        <w:t>T</w:t>
      </w:r>
      <w:r w:rsidRPr="004156F1">
        <w:t xml:space="preserve">his </w:t>
      </w:r>
      <w:r w:rsidR="006D60DE" w:rsidRPr="004156F1">
        <w:t>receptor</w:t>
      </w:r>
      <w:r w:rsidRPr="004156F1">
        <w:t xml:space="preserve"> can be triggered not only by </w:t>
      </w:r>
      <w:proofErr w:type="spellStart"/>
      <w:r w:rsidR="006D60DE">
        <w:t>ACh</w:t>
      </w:r>
      <w:proofErr w:type="spellEnd"/>
      <w:r w:rsidRPr="004156F1">
        <w:t xml:space="preserve"> b</w:t>
      </w:r>
      <w:r w:rsidR="006D60DE">
        <w:t>u</w:t>
      </w:r>
      <w:r w:rsidRPr="004156F1">
        <w:t>t also by nicotine. However, when it does trigger a receptor that receptor immediately stops working</w:t>
      </w:r>
      <w:r w:rsidR="006D60DE">
        <w:t xml:space="preserve"> and shuts down temporarily. The number of active receptors is said to be downregulated. This leads to desensitisation of the neuron (because fewer active receptors are available). </w:t>
      </w:r>
    </w:p>
    <w:p w14:paraId="32B90430" w14:textId="77777777" w:rsidR="006D60DE" w:rsidRDefault="006D60DE"/>
    <w:p w14:paraId="734EA936" w14:textId="553EDD62" w:rsidR="004156F1" w:rsidRDefault="006D60DE">
      <w:r w:rsidRPr="006D60DE">
        <w:t xml:space="preserve">When downregulation of </w:t>
      </w:r>
      <w:proofErr w:type="spellStart"/>
      <w:r w:rsidRPr="006D60DE">
        <w:t>nAChR</w:t>
      </w:r>
      <w:proofErr w:type="spellEnd"/>
      <w:r w:rsidRPr="006D60DE">
        <w:t xml:space="preserve"> receptors occurs in the </w:t>
      </w:r>
      <w:proofErr w:type="spellStart"/>
      <w:r w:rsidRPr="006D60DE">
        <w:t>N</w:t>
      </w:r>
      <w:r w:rsidR="008F1BB7">
        <w:t>Acc</w:t>
      </w:r>
      <w:proofErr w:type="spellEnd"/>
      <w:r w:rsidRPr="006D60DE">
        <w:t xml:space="preserve"> it triggers the release of </w:t>
      </w:r>
      <w:r>
        <w:t xml:space="preserve">the neurotransmitter </w:t>
      </w:r>
      <w:r w:rsidRPr="006D60DE">
        <w:t>dopamine</w:t>
      </w:r>
      <w:r>
        <w:t>,</w:t>
      </w:r>
      <w:r w:rsidRPr="006D60DE">
        <w:t xml:space="preserve"> resulting in a feeling of increased alertness, reduced anxiety and mild euphoria, </w:t>
      </w:r>
      <w:r>
        <w:t xml:space="preserve">and is </w:t>
      </w:r>
      <w:proofErr w:type="gramStart"/>
      <w:r>
        <w:t>similar</w:t>
      </w:r>
      <w:r w:rsidRPr="006D60DE">
        <w:t xml:space="preserve"> to</w:t>
      </w:r>
      <w:proofErr w:type="gramEnd"/>
      <w:r w:rsidRPr="006D60DE">
        <w:t xml:space="preserve"> the effects of heroin or amphetamine.</w:t>
      </w:r>
      <w:r>
        <w:t xml:space="preserve"> </w:t>
      </w:r>
    </w:p>
    <w:p w14:paraId="58386A16" w14:textId="01B1435D" w:rsidR="004156F1" w:rsidRDefault="004156F1"/>
    <w:p w14:paraId="0871E55C" w14:textId="3DDCC4D6" w:rsidR="001508C0" w:rsidRDefault="001508C0">
      <w:r>
        <w:t xml:space="preserve">Repetition of this process over time creates a chronic (long-term) desensitisation of </w:t>
      </w:r>
      <w:proofErr w:type="spellStart"/>
      <w:r>
        <w:t>nAChRs</w:t>
      </w:r>
      <w:proofErr w:type="spellEnd"/>
      <w:r>
        <w:t xml:space="preserve"> which can only be overcome by increasing nicotine intake, a tolerance develops. This r</w:t>
      </w:r>
      <w:r w:rsidRPr="001508C0">
        <w:t>esult</w:t>
      </w:r>
      <w:r>
        <w:t>s</w:t>
      </w:r>
      <w:r w:rsidRPr="001508C0">
        <w:t xml:space="preserve"> in consistently high levels of dopamine.  Eventually the brain will adapt by producing less dopamine resulting in a dampening down and less experience of pleasure.  To achieve the same result, increased quantities of the nicotine will be needed.  Not only does the pleasure disappear but </w:t>
      </w:r>
      <w:r>
        <w:t>the</w:t>
      </w:r>
      <w:r w:rsidRPr="001508C0">
        <w:t xml:space="preserve"> user now </w:t>
      </w:r>
      <w:proofErr w:type="gramStart"/>
      <w:r w:rsidRPr="001508C0">
        <w:t>has to</w:t>
      </w:r>
      <w:proofErr w:type="gramEnd"/>
      <w:r w:rsidRPr="001508C0">
        <w:t xml:space="preserve"> take </w:t>
      </w:r>
      <w:r>
        <w:t>nicotine</w:t>
      </w:r>
      <w:r w:rsidRPr="001508C0">
        <w:t>, not to get the pleasure as initially, but to stave off withdrawal symptoms</w:t>
      </w:r>
    </w:p>
    <w:p w14:paraId="755531FA" w14:textId="77777777" w:rsidR="001508C0" w:rsidRDefault="001508C0"/>
    <w:p w14:paraId="0716FB5D" w14:textId="1A710C13" w:rsidR="001508C0" w:rsidRDefault="001508C0">
      <w:r w:rsidRPr="001508C0">
        <w:t xml:space="preserve">After a period without a cigarette, for example while the smoker sleeps, the downregulated </w:t>
      </w:r>
      <w:proofErr w:type="spellStart"/>
      <w:r>
        <w:t>nAChRs</w:t>
      </w:r>
      <w:proofErr w:type="spellEnd"/>
      <w:r w:rsidRPr="001508C0">
        <w:t xml:space="preserve"> become upregulated</w:t>
      </w:r>
      <w:r>
        <w:t xml:space="preserve"> again (receptors are active)</w:t>
      </w:r>
      <w:r w:rsidRPr="001508C0">
        <w:t>.</w:t>
      </w:r>
      <w:r>
        <w:t xml:space="preserve"> This creates withdrawal symptoms: </w:t>
      </w:r>
      <w:r>
        <w:lastRenderedPageBreak/>
        <w:t xml:space="preserve">anxiety, agitation and restlessness. </w:t>
      </w:r>
      <w:proofErr w:type="gramStart"/>
      <w:r>
        <w:t>This is why</w:t>
      </w:r>
      <w:proofErr w:type="gramEnd"/>
      <w:r>
        <w:t xml:space="preserve"> smokers often describe the first cigarette of the day </w:t>
      </w:r>
      <w:r w:rsidR="002E25BB">
        <w:t xml:space="preserve">as the most enjoyable – as the </w:t>
      </w:r>
      <w:proofErr w:type="spellStart"/>
      <w:r w:rsidR="002E25BB">
        <w:t>nAChRs</w:t>
      </w:r>
      <w:proofErr w:type="spellEnd"/>
      <w:r w:rsidR="002E25BB">
        <w:t xml:space="preserve"> are most sensitised after a period of abstinence. This daily cycle of morning upregulation and night downregulation is referred to as the Nicotine Regulation Model. </w:t>
      </w:r>
    </w:p>
    <w:p w14:paraId="33A3D948" w14:textId="77777777" w:rsidR="001508C0" w:rsidRDefault="001508C0"/>
    <w:p w14:paraId="23603DFD" w14:textId="7DE904B3" w:rsidR="006979B0" w:rsidRPr="0076665B" w:rsidRDefault="006979B0">
      <w:pPr>
        <w:rPr>
          <w:b/>
          <w:bCs/>
        </w:rPr>
      </w:pPr>
      <w:r w:rsidRPr="0076665B">
        <w:rPr>
          <w:b/>
          <w:bCs/>
        </w:rPr>
        <w:t>Relapse</w:t>
      </w:r>
    </w:p>
    <w:p w14:paraId="6F663206" w14:textId="3E99F8B4" w:rsidR="002E25BB" w:rsidRDefault="002E25BB"/>
    <w:p w14:paraId="61B80758" w14:textId="77777777" w:rsidR="008F37BB" w:rsidRDefault="008F37BB" w:rsidP="008F37BB">
      <w:r>
        <w:t>If a person has quit smoking ‘cold turkey’ and has a long period of abstinence from nicotine, there is upregulation (</w:t>
      </w:r>
      <w:proofErr w:type="spellStart"/>
      <w:r>
        <w:t>resensitisation</w:t>
      </w:r>
      <w:proofErr w:type="spellEnd"/>
      <w:r>
        <w:t xml:space="preserve"> of the </w:t>
      </w:r>
      <w:proofErr w:type="spellStart"/>
      <w:r>
        <w:t>nAChRs</w:t>
      </w:r>
      <w:proofErr w:type="spellEnd"/>
      <w:r>
        <w:t xml:space="preserve">) and an increase in the number of </w:t>
      </w:r>
      <w:proofErr w:type="spellStart"/>
      <w:r>
        <w:t>nAChRs</w:t>
      </w:r>
      <w:proofErr w:type="spellEnd"/>
      <w:r>
        <w:t>. If someone smokes a cigarette then, research (</w:t>
      </w:r>
      <w:proofErr w:type="spellStart"/>
      <w:r>
        <w:t>Nisell</w:t>
      </w:r>
      <w:proofErr w:type="spellEnd"/>
      <w:r>
        <w:t xml:space="preserve"> et al, 1996) has suggested that they are more likely to relapse (and continue to smoke) as the pleasure reward (increased dopamine) is substantial. </w:t>
      </w:r>
    </w:p>
    <w:p w14:paraId="25DDFE7A" w14:textId="77777777" w:rsidR="008F37BB" w:rsidRDefault="008F37BB"/>
    <w:p w14:paraId="33E6FA37" w14:textId="6BFEB7CC" w:rsidR="002E25BB" w:rsidRDefault="002E25BB">
      <w:bookmarkStart w:id="0" w:name="_GoBack"/>
      <w:bookmarkEnd w:id="0"/>
      <w:r w:rsidRPr="002E25BB">
        <w:t>A history of major depression may exacerbate withdrawal after smoking cessation (Pomerleau et al. 2004) and may increase the risk of relapse in women but perhaps not in men (Hall et al. 1998).</w:t>
      </w:r>
      <w:r>
        <w:t xml:space="preserve"> </w:t>
      </w:r>
    </w:p>
    <w:p w14:paraId="531535B1" w14:textId="6FB99F57" w:rsidR="0076665B" w:rsidRDefault="0076665B"/>
    <w:p w14:paraId="3F22B6DB" w14:textId="394B9E62" w:rsidR="0076665B" w:rsidRDefault="0076665B">
      <w:r>
        <w:t>S</w:t>
      </w:r>
      <w:r w:rsidRPr="0076665B">
        <w:t>ome studies also suggest that a dysregulation in the hypothalamic-pituitary axis</w:t>
      </w:r>
      <w:r>
        <w:t xml:space="preserve"> (HPA axis; involved in the </w:t>
      </w:r>
      <w:proofErr w:type="gramStart"/>
      <w:r>
        <w:t>long term</w:t>
      </w:r>
      <w:proofErr w:type="gramEnd"/>
      <w:r>
        <w:t xml:space="preserve"> stress response)</w:t>
      </w:r>
      <w:r w:rsidRPr="0076665B">
        <w:t xml:space="preserve"> occurs subsequent to withdrawal (</w:t>
      </w:r>
      <w:proofErr w:type="spellStart"/>
      <w:r w:rsidRPr="0076665B">
        <w:t>al’Absi</w:t>
      </w:r>
      <w:proofErr w:type="spellEnd"/>
      <w:r w:rsidRPr="0076665B">
        <w:t xml:space="preserve"> et al. 2004), and this dysregulation has been associated with relapse to smoking (</w:t>
      </w:r>
      <w:proofErr w:type="spellStart"/>
      <w:r w:rsidRPr="0076665B">
        <w:t>al’Absi</w:t>
      </w:r>
      <w:proofErr w:type="spellEnd"/>
      <w:r w:rsidRPr="0076665B">
        <w:t xml:space="preserve"> et al. 2005).</w:t>
      </w:r>
    </w:p>
    <w:p w14:paraId="2507EAF2" w14:textId="3BCD1B7C" w:rsidR="0076665B" w:rsidRDefault="0076665B"/>
    <w:sectPr w:rsidR="0076665B" w:rsidSect="008808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B0"/>
    <w:rsid w:val="001508C0"/>
    <w:rsid w:val="002E25BB"/>
    <w:rsid w:val="004156F1"/>
    <w:rsid w:val="00514F1A"/>
    <w:rsid w:val="006979B0"/>
    <w:rsid w:val="006D60DE"/>
    <w:rsid w:val="0076665B"/>
    <w:rsid w:val="008808B6"/>
    <w:rsid w:val="008F1BB7"/>
    <w:rsid w:val="008F37BB"/>
    <w:rsid w:val="00EF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D059"/>
  <w15:chartTrackingRefBased/>
  <w15:docId w15:val="{F5A05200-50E0-4FC2-ACCA-CB0B1E41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5BB"/>
    <w:rPr>
      <w:color w:val="0563C1" w:themeColor="hyperlink"/>
      <w:u w:val="single"/>
    </w:rPr>
  </w:style>
  <w:style w:type="character" w:styleId="UnresolvedMention">
    <w:name w:val="Unresolved Mention"/>
    <w:basedOn w:val="DefaultParagraphFont"/>
    <w:uiPriority w:val="99"/>
    <w:semiHidden/>
    <w:unhideWhenUsed/>
    <w:rsid w:val="002E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Tremayne</dc:creator>
  <cp:keywords/>
  <dc:description/>
  <cp:lastModifiedBy>Rebecca Tremayne</cp:lastModifiedBy>
  <cp:revision>4</cp:revision>
  <dcterms:created xsi:type="dcterms:W3CDTF">2019-08-14T13:04:00Z</dcterms:created>
  <dcterms:modified xsi:type="dcterms:W3CDTF">2019-08-14T14:13:00Z</dcterms:modified>
</cp:coreProperties>
</file>