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8D" w:rsidRPr="009A5F33" w:rsidRDefault="00A60B8D" w:rsidP="00134A74">
      <w:pPr>
        <w:tabs>
          <w:tab w:val="left" w:pos="1330"/>
        </w:tabs>
        <w:spacing w:after="0"/>
        <w:jc w:val="center"/>
        <w:rPr>
          <w:b/>
          <w:sz w:val="24"/>
          <w:szCs w:val="24"/>
          <w:u w:val="single"/>
        </w:rPr>
      </w:pPr>
      <w:r w:rsidRPr="009A5F33">
        <w:rPr>
          <w:b/>
          <w:sz w:val="24"/>
          <w:szCs w:val="24"/>
          <w:u w:val="single"/>
        </w:rPr>
        <w:t xml:space="preserve">Godalming College, </w:t>
      </w:r>
      <w:r w:rsidR="00F36052">
        <w:rPr>
          <w:b/>
          <w:sz w:val="24"/>
          <w:szCs w:val="24"/>
          <w:u w:val="single"/>
        </w:rPr>
        <w:t xml:space="preserve">Art and Design Assessment Policy </w:t>
      </w:r>
    </w:p>
    <w:p w:rsidR="00F367E6" w:rsidRPr="009A5F33" w:rsidRDefault="00A60B8D" w:rsidP="00134A74">
      <w:pPr>
        <w:tabs>
          <w:tab w:val="left" w:pos="1330"/>
        </w:tabs>
        <w:jc w:val="center"/>
        <w:rPr>
          <w:b/>
          <w:sz w:val="24"/>
          <w:szCs w:val="24"/>
          <w:u w:val="single"/>
        </w:rPr>
      </w:pPr>
      <w:r w:rsidRPr="009A5F33">
        <w:rPr>
          <w:b/>
          <w:sz w:val="24"/>
          <w:szCs w:val="24"/>
          <w:u w:val="single"/>
        </w:rPr>
        <w:t>Assessment and Predicted Grade Policy</w:t>
      </w:r>
    </w:p>
    <w:p w:rsidR="00DE53D9" w:rsidRPr="009A5F33" w:rsidRDefault="00BE7755" w:rsidP="00134A74">
      <w:pPr>
        <w:tabs>
          <w:tab w:val="left" w:pos="1330"/>
        </w:tabs>
        <w:jc w:val="center"/>
        <w:rPr>
          <w:b/>
          <w:sz w:val="24"/>
          <w:szCs w:val="24"/>
          <w:u w:val="single"/>
        </w:rPr>
      </w:pPr>
      <w:r>
        <w:rPr>
          <w:b/>
          <w:sz w:val="24"/>
          <w:szCs w:val="24"/>
          <w:u w:val="single"/>
        </w:rPr>
        <w:t>2019-2020</w:t>
      </w:r>
    </w:p>
    <w:p w:rsidR="00DE53D9" w:rsidRPr="009A5F33" w:rsidRDefault="00DE53D9" w:rsidP="00134A74">
      <w:pPr>
        <w:rPr>
          <w:caps/>
          <w:sz w:val="24"/>
          <w:szCs w:val="24"/>
          <w:u w:val="single"/>
        </w:rPr>
      </w:pPr>
      <w:r w:rsidRPr="007F07C6">
        <w:rPr>
          <w:b/>
          <w:caps/>
          <w:sz w:val="24"/>
          <w:szCs w:val="24"/>
          <w:highlight w:val="yellow"/>
          <w:u w:val="single"/>
        </w:rPr>
        <w:t>The Importance of Feedback</w:t>
      </w:r>
      <w:r w:rsidRPr="009A5F33">
        <w:rPr>
          <w:caps/>
          <w:sz w:val="24"/>
          <w:szCs w:val="24"/>
          <w:u w:val="single"/>
        </w:rPr>
        <w:t xml:space="preserve"> </w:t>
      </w:r>
    </w:p>
    <w:p w:rsidR="00DE53D9" w:rsidRPr="009A5F33" w:rsidRDefault="00DE53D9" w:rsidP="00134A74">
      <w:pPr>
        <w:rPr>
          <w:sz w:val="24"/>
          <w:szCs w:val="24"/>
        </w:rPr>
      </w:pPr>
      <w:r w:rsidRPr="009A5F33">
        <w:rPr>
          <w:sz w:val="24"/>
          <w:szCs w:val="24"/>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assess yourself).</w:t>
      </w:r>
    </w:p>
    <w:p w:rsidR="00DE53D9" w:rsidRPr="009A5F33" w:rsidRDefault="00DE53D9" w:rsidP="00134A74">
      <w:pPr>
        <w:rPr>
          <w:caps/>
          <w:sz w:val="24"/>
          <w:szCs w:val="24"/>
          <w:u w:val="single"/>
        </w:rPr>
      </w:pPr>
      <w:r w:rsidRPr="007F07C6">
        <w:rPr>
          <w:b/>
          <w:caps/>
          <w:sz w:val="24"/>
          <w:szCs w:val="24"/>
          <w:highlight w:val="yellow"/>
          <w:u w:val="single"/>
        </w:rPr>
        <w:t>The Final Assessment</w:t>
      </w:r>
    </w:p>
    <w:p w:rsidR="00DE53D9" w:rsidRPr="009A5F33" w:rsidRDefault="00DE53D9" w:rsidP="00134A74">
      <w:pPr>
        <w:rPr>
          <w:sz w:val="24"/>
          <w:szCs w:val="24"/>
        </w:rPr>
      </w:pPr>
      <w:r w:rsidRPr="009A5F33">
        <w:rPr>
          <w:sz w:val="24"/>
          <w:szCs w:val="24"/>
        </w:rPr>
        <w:t>The assessment and feedback schedule in the department gives you elements of all of these types of assessment.</w:t>
      </w:r>
    </w:p>
    <w:tbl>
      <w:tblPr>
        <w:tblStyle w:val="TableGrid"/>
        <w:tblpPr w:leftFromText="180" w:rightFromText="180" w:vertAnchor="text" w:horzAnchor="margin" w:tblpXSpec="center" w:tblpY="30"/>
        <w:tblW w:w="0" w:type="auto"/>
        <w:tblLook w:val="04A0" w:firstRow="1" w:lastRow="0" w:firstColumn="1" w:lastColumn="0" w:noHBand="0" w:noVBand="1"/>
      </w:tblPr>
      <w:tblGrid>
        <w:gridCol w:w="4531"/>
        <w:gridCol w:w="5925"/>
      </w:tblGrid>
      <w:tr w:rsidR="009E7CC2" w:rsidRPr="009A5F33" w:rsidTr="00100B05">
        <w:trPr>
          <w:trHeight w:val="890"/>
        </w:trPr>
        <w:tc>
          <w:tcPr>
            <w:tcW w:w="4531" w:type="dxa"/>
            <w:shd w:val="clear" w:color="auto" w:fill="B4C6E7" w:themeFill="accent5" w:themeFillTint="66"/>
            <w:vAlign w:val="center"/>
          </w:tcPr>
          <w:p w:rsidR="009E7CC2" w:rsidRPr="00100B05" w:rsidRDefault="009E7CC2" w:rsidP="009E7CC2">
            <w:pPr>
              <w:spacing w:after="0"/>
              <w:jc w:val="center"/>
              <w:rPr>
                <w:b/>
                <w:sz w:val="28"/>
                <w:szCs w:val="24"/>
              </w:rPr>
            </w:pPr>
            <w:r w:rsidRPr="00100B05">
              <w:rPr>
                <w:b/>
                <w:sz w:val="28"/>
                <w:szCs w:val="24"/>
              </w:rPr>
              <w:t>Art</w:t>
            </w:r>
          </w:p>
        </w:tc>
        <w:tc>
          <w:tcPr>
            <w:tcW w:w="5925" w:type="dxa"/>
            <w:vMerge w:val="restart"/>
            <w:shd w:val="clear" w:color="auto" w:fill="FFFFFF" w:themeFill="background1"/>
          </w:tcPr>
          <w:p w:rsidR="009E7CC2" w:rsidRDefault="009E7CC2" w:rsidP="009E7CC2">
            <w:pPr>
              <w:spacing w:after="0" w:line="240" w:lineRule="auto"/>
              <w:jc w:val="center"/>
              <w:rPr>
                <w:b/>
                <w:sz w:val="28"/>
                <w:u w:val="single"/>
              </w:rPr>
            </w:pPr>
            <w:r>
              <w:rPr>
                <w:b/>
                <w:sz w:val="28"/>
                <w:u w:val="single"/>
              </w:rPr>
              <w:t>AQA</w:t>
            </w:r>
          </w:p>
          <w:p w:rsidR="009E7CC2" w:rsidRDefault="009E7CC2" w:rsidP="009E7CC2">
            <w:pPr>
              <w:spacing w:after="0" w:line="240" w:lineRule="auto"/>
              <w:jc w:val="center"/>
              <w:rPr>
                <w:b/>
                <w:sz w:val="28"/>
                <w:u w:val="single"/>
              </w:rPr>
            </w:pPr>
          </w:p>
          <w:p w:rsidR="009E7CC2" w:rsidRDefault="009E7CC2" w:rsidP="009E7CC2">
            <w:pPr>
              <w:spacing w:after="0" w:line="240" w:lineRule="auto"/>
              <w:rPr>
                <w:sz w:val="28"/>
              </w:rPr>
            </w:pPr>
            <w:r w:rsidRPr="00100B05">
              <w:rPr>
                <w:b/>
                <w:sz w:val="28"/>
                <w:u w:val="single"/>
              </w:rPr>
              <w:t>Component 1:</w:t>
            </w:r>
            <w:r>
              <w:rPr>
                <w:sz w:val="28"/>
              </w:rPr>
              <w:t xml:space="preserve"> </w:t>
            </w:r>
            <w:r w:rsidRPr="009E7CC2">
              <w:rPr>
                <w:b/>
                <w:sz w:val="28"/>
              </w:rPr>
              <w:t>Personal Investigation</w:t>
            </w:r>
            <w:r>
              <w:rPr>
                <w:sz w:val="28"/>
              </w:rPr>
              <w:t xml:space="preserve"> </w:t>
            </w:r>
          </w:p>
          <w:p w:rsidR="009E7CC2" w:rsidRDefault="009E7CC2" w:rsidP="009E7CC2">
            <w:pPr>
              <w:spacing w:after="0" w:line="240" w:lineRule="auto"/>
              <w:rPr>
                <w:sz w:val="28"/>
              </w:rPr>
            </w:pPr>
            <w:r>
              <w:rPr>
                <w:sz w:val="28"/>
              </w:rPr>
              <w:t>Not timed,</w:t>
            </w:r>
          </w:p>
          <w:p w:rsidR="009E7CC2" w:rsidRDefault="009E7CC2" w:rsidP="009E7CC2">
            <w:pPr>
              <w:spacing w:after="0" w:line="240" w:lineRule="auto"/>
              <w:rPr>
                <w:sz w:val="28"/>
              </w:rPr>
            </w:pPr>
            <w:r>
              <w:rPr>
                <w:sz w:val="28"/>
              </w:rPr>
              <w:t>96 marks</w:t>
            </w:r>
          </w:p>
          <w:p w:rsidR="009E7CC2" w:rsidRPr="00100B05" w:rsidRDefault="009E7CC2" w:rsidP="009E7CC2">
            <w:pPr>
              <w:spacing w:after="0" w:line="240" w:lineRule="auto"/>
              <w:rPr>
                <w:sz w:val="28"/>
              </w:rPr>
            </w:pPr>
            <w:r w:rsidRPr="00100B05">
              <w:rPr>
                <w:sz w:val="28"/>
              </w:rPr>
              <w:t>60% of A-Level</w:t>
            </w:r>
          </w:p>
          <w:p w:rsidR="009E7CC2" w:rsidRPr="00100B05" w:rsidRDefault="009E7CC2" w:rsidP="009E7CC2">
            <w:pPr>
              <w:pStyle w:val="ListParagraph"/>
              <w:rPr>
                <w:sz w:val="28"/>
              </w:rPr>
            </w:pPr>
          </w:p>
          <w:p w:rsidR="009E7CC2" w:rsidRDefault="009E7CC2" w:rsidP="009E7CC2">
            <w:pPr>
              <w:spacing w:after="0"/>
              <w:rPr>
                <w:sz w:val="28"/>
              </w:rPr>
            </w:pPr>
            <w:r w:rsidRPr="00100B05">
              <w:rPr>
                <w:b/>
                <w:sz w:val="28"/>
                <w:u w:val="single"/>
              </w:rPr>
              <w:t>Component 2:</w:t>
            </w:r>
            <w:r w:rsidRPr="00100B05">
              <w:rPr>
                <w:sz w:val="28"/>
              </w:rPr>
              <w:t xml:space="preserve"> </w:t>
            </w:r>
            <w:r w:rsidRPr="009E7CC2">
              <w:rPr>
                <w:b/>
                <w:sz w:val="28"/>
              </w:rPr>
              <w:t>Externally set assignment</w:t>
            </w:r>
            <w:r w:rsidRPr="00100B05">
              <w:rPr>
                <w:sz w:val="28"/>
              </w:rPr>
              <w:t xml:space="preserve"> </w:t>
            </w:r>
          </w:p>
          <w:p w:rsidR="009E7CC2" w:rsidRDefault="009E7CC2" w:rsidP="009E7CC2">
            <w:pPr>
              <w:spacing w:after="0"/>
              <w:rPr>
                <w:sz w:val="28"/>
              </w:rPr>
            </w:pPr>
            <w:r>
              <w:rPr>
                <w:sz w:val="28"/>
              </w:rPr>
              <w:t>Preparatory period + 15 hours</w:t>
            </w:r>
          </w:p>
          <w:p w:rsidR="009E7CC2" w:rsidRDefault="009E7CC2" w:rsidP="009E7CC2">
            <w:pPr>
              <w:spacing w:after="0"/>
              <w:rPr>
                <w:sz w:val="28"/>
              </w:rPr>
            </w:pPr>
            <w:r>
              <w:rPr>
                <w:sz w:val="28"/>
              </w:rPr>
              <w:t>96 marks</w:t>
            </w:r>
          </w:p>
          <w:p w:rsidR="009E7CC2" w:rsidRPr="009A5F33" w:rsidRDefault="009E7CC2" w:rsidP="009E7CC2">
            <w:pPr>
              <w:spacing w:after="0"/>
              <w:rPr>
                <w:b/>
                <w:sz w:val="24"/>
                <w:szCs w:val="24"/>
              </w:rPr>
            </w:pPr>
            <w:r w:rsidRPr="00100B05">
              <w:rPr>
                <w:sz w:val="28"/>
              </w:rPr>
              <w:t>40% of A-Level</w:t>
            </w:r>
          </w:p>
        </w:tc>
      </w:tr>
      <w:tr w:rsidR="009E7CC2" w:rsidRPr="009A5F33" w:rsidTr="00100B05">
        <w:trPr>
          <w:trHeight w:val="890"/>
        </w:trPr>
        <w:tc>
          <w:tcPr>
            <w:tcW w:w="4531" w:type="dxa"/>
            <w:shd w:val="clear" w:color="auto" w:fill="B4C6E7" w:themeFill="accent5" w:themeFillTint="66"/>
            <w:vAlign w:val="center"/>
          </w:tcPr>
          <w:p w:rsidR="009E7CC2" w:rsidRPr="00100B05" w:rsidRDefault="009E7CC2" w:rsidP="009E7CC2">
            <w:pPr>
              <w:spacing w:after="0"/>
              <w:jc w:val="center"/>
              <w:rPr>
                <w:b/>
                <w:sz w:val="28"/>
                <w:szCs w:val="24"/>
              </w:rPr>
            </w:pPr>
            <w:r>
              <w:rPr>
                <w:b/>
                <w:sz w:val="28"/>
                <w:szCs w:val="24"/>
              </w:rPr>
              <w:t>Graphic Communication</w:t>
            </w:r>
          </w:p>
        </w:tc>
        <w:tc>
          <w:tcPr>
            <w:tcW w:w="5925" w:type="dxa"/>
            <w:vMerge/>
            <w:shd w:val="clear" w:color="auto" w:fill="FFFFFF" w:themeFill="background1"/>
          </w:tcPr>
          <w:p w:rsidR="009E7CC2" w:rsidRPr="009A5F33" w:rsidRDefault="009E7CC2" w:rsidP="009E7CC2">
            <w:pPr>
              <w:spacing w:after="0"/>
              <w:jc w:val="center"/>
              <w:rPr>
                <w:b/>
                <w:sz w:val="24"/>
                <w:szCs w:val="24"/>
              </w:rPr>
            </w:pPr>
          </w:p>
        </w:tc>
      </w:tr>
      <w:tr w:rsidR="009E7CC2" w:rsidRPr="009A5F33" w:rsidTr="00100B05">
        <w:trPr>
          <w:trHeight w:val="890"/>
        </w:trPr>
        <w:tc>
          <w:tcPr>
            <w:tcW w:w="4531" w:type="dxa"/>
            <w:shd w:val="clear" w:color="auto" w:fill="B4C6E7" w:themeFill="accent5" w:themeFillTint="66"/>
            <w:vAlign w:val="center"/>
          </w:tcPr>
          <w:p w:rsidR="009E7CC2" w:rsidRPr="00100B05" w:rsidRDefault="009E7CC2" w:rsidP="009E7CC2">
            <w:pPr>
              <w:spacing w:after="0"/>
              <w:jc w:val="center"/>
              <w:rPr>
                <w:b/>
                <w:sz w:val="28"/>
                <w:szCs w:val="24"/>
              </w:rPr>
            </w:pPr>
            <w:r w:rsidRPr="00100B05">
              <w:rPr>
                <w:b/>
                <w:sz w:val="28"/>
                <w:szCs w:val="24"/>
              </w:rPr>
              <w:t>Photography</w:t>
            </w:r>
          </w:p>
        </w:tc>
        <w:tc>
          <w:tcPr>
            <w:tcW w:w="5925" w:type="dxa"/>
            <w:vMerge/>
            <w:shd w:val="clear" w:color="auto" w:fill="FFFFFF" w:themeFill="background1"/>
          </w:tcPr>
          <w:p w:rsidR="009E7CC2" w:rsidRPr="009A5F33" w:rsidRDefault="009E7CC2" w:rsidP="009E7CC2">
            <w:pPr>
              <w:rPr>
                <w:b/>
                <w:sz w:val="24"/>
                <w:szCs w:val="24"/>
              </w:rPr>
            </w:pPr>
          </w:p>
        </w:tc>
      </w:tr>
      <w:tr w:rsidR="009E7CC2" w:rsidRPr="009A5F33" w:rsidTr="00100B05">
        <w:trPr>
          <w:trHeight w:val="890"/>
        </w:trPr>
        <w:tc>
          <w:tcPr>
            <w:tcW w:w="4531" w:type="dxa"/>
            <w:shd w:val="clear" w:color="auto" w:fill="B4C6E7" w:themeFill="accent5" w:themeFillTint="66"/>
            <w:vAlign w:val="center"/>
          </w:tcPr>
          <w:p w:rsidR="009E7CC2" w:rsidRPr="00100B05" w:rsidRDefault="009E7CC2" w:rsidP="009E7CC2">
            <w:pPr>
              <w:spacing w:after="0"/>
              <w:jc w:val="center"/>
              <w:rPr>
                <w:b/>
                <w:sz w:val="28"/>
                <w:szCs w:val="24"/>
              </w:rPr>
            </w:pPr>
            <w:r>
              <w:rPr>
                <w:b/>
                <w:sz w:val="28"/>
                <w:szCs w:val="24"/>
              </w:rPr>
              <w:t>Textile Design</w:t>
            </w:r>
          </w:p>
        </w:tc>
        <w:tc>
          <w:tcPr>
            <w:tcW w:w="5925" w:type="dxa"/>
            <w:vMerge/>
            <w:shd w:val="clear" w:color="auto" w:fill="FFFFFF" w:themeFill="background1"/>
          </w:tcPr>
          <w:p w:rsidR="009E7CC2" w:rsidRPr="009A5F33" w:rsidRDefault="009E7CC2" w:rsidP="009E7CC2">
            <w:pPr>
              <w:rPr>
                <w:b/>
                <w:sz w:val="24"/>
                <w:szCs w:val="24"/>
              </w:rPr>
            </w:pPr>
          </w:p>
        </w:tc>
      </w:tr>
      <w:tr w:rsidR="009E7CC2" w:rsidRPr="009A5F33" w:rsidTr="00100B05">
        <w:trPr>
          <w:trHeight w:val="890"/>
        </w:trPr>
        <w:tc>
          <w:tcPr>
            <w:tcW w:w="4531" w:type="dxa"/>
            <w:tcBorders>
              <w:bottom w:val="single" w:sz="4" w:space="0" w:color="auto"/>
            </w:tcBorders>
            <w:shd w:val="clear" w:color="auto" w:fill="B4C6E7" w:themeFill="accent5" w:themeFillTint="66"/>
            <w:vAlign w:val="center"/>
          </w:tcPr>
          <w:p w:rsidR="009E7CC2" w:rsidRPr="00100B05" w:rsidRDefault="009E7CC2" w:rsidP="009E7CC2">
            <w:pPr>
              <w:spacing w:after="0"/>
              <w:jc w:val="center"/>
              <w:rPr>
                <w:b/>
                <w:sz w:val="28"/>
                <w:szCs w:val="24"/>
              </w:rPr>
            </w:pPr>
            <w:r>
              <w:rPr>
                <w:b/>
                <w:sz w:val="28"/>
                <w:szCs w:val="24"/>
              </w:rPr>
              <w:t xml:space="preserve">Three-Dimensional Design </w:t>
            </w:r>
          </w:p>
        </w:tc>
        <w:tc>
          <w:tcPr>
            <w:tcW w:w="5925" w:type="dxa"/>
            <w:vMerge/>
            <w:tcBorders>
              <w:bottom w:val="single" w:sz="4" w:space="0" w:color="auto"/>
            </w:tcBorders>
            <w:shd w:val="clear" w:color="auto" w:fill="FFFFFF" w:themeFill="background1"/>
          </w:tcPr>
          <w:p w:rsidR="009E7CC2" w:rsidRPr="009A5F33" w:rsidRDefault="009E7CC2" w:rsidP="009E7CC2">
            <w:pPr>
              <w:rPr>
                <w:b/>
                <w:sz w:val="24"/>
                <w:szCs w:val="24"/>
              </w:rPr>
            </w:pPr>
          </w:p>
        </w:tc>
      </w:tr>
    </w:tbl>
    <w:p w:rsidR="00014A8A" w:rsidRDefault="00014A8A" w:rsidP="00134A74">
      <w:pPr>
        <w:rPr>
          <w:sz w:val="24"/>
          <w:szCs w:val="24"/>
        </w:rPr>
      </w:pPr>
    </w:p>
    <w:p w:rsidR="005960EB" w:rsidRPr="009A5F33" w:rsidRDefault="005960EB" w:rsidP="00134A74">
      <w:pPr>
        <w:rPr>
          <w:sz w:val="24"/>
          <w:szCs w:val="24"/>
        </w:rPr>
      </w:pPr>
      <w:r>
        <w:rPr>
          <w:sz w:val="24"/>
          <w:szCs w:val="24"/>
        </w:rPr>
        <w:t xml:space="preserve">Both components are non-exam assessments (NEA) meaning that they are marked by the Art and Design Department internally and then externally moderated by the exam board (usually in June). Please refer to the ‘Non-Examined Assessment’ section of this policy for more information about this. </w:t>
      </w:r>
    </w:p>
    <w:p w:rsidR="00DE53D9" w:rsidRPr="009A5F33" w:rsidRDefault="00DE53D9" w:rsidP="00134A74">
      <w:pPr>
        <w:rPr>
          <w:b/>
          <w:caps/>
          <w:sz w:val="24"/>
          <w:szCs w:val="24"/>
          <w:u w:val="single"/>
        </w:rPr>
      </w:pPr>
      <w:r w:rsidRPr="00D05334">
        <w:rPr>
          <w:b/>
          <w:caps/>
          <w:sz w:val="24"/>
          <w:szCs w:val="24"/>
          <w:highlight w:val="yellow"/>
          <w:u w:val="single"/>
        </w:rPr>
        <w:t>Weekly Independent Tasks (Homework)</w:t>
      </w:r>
    </w:p>
    <w:p w:rsidR="00DE53D9" w:rsidRPr="009A5F33" w:rsidRDefault="00DE53D9" w:rsidP="00134A74">
      <w:pPr>
        <w:rPr>
          <w:sz w:val="24"/>
          <w:szCs w:val="24"/>
        </w:rPr>
      </w:pPr>
      <w:r w:rsidRPr="009A5F33">
        <w:rPr>
          <w:sz w:val="24"/>
          <w:szCs w:val="24"/>
        </w:rPr>
        <w:t>Homework does not necessari</w:t>
      </w:r>
      <w:r w:rsidR="00A26F58" w:rsidRPr="009A5F33">
        <w:rPr>
          <w:sz w:val="24"/>
          <w:szCs w:val="24"/>
        </w:rPr>
        <w:t>ly need to be completed at home.</w:t>
      </w:r>
      <w:r w:rsidR="00D05334">
        <w:rPr>
          <w:sz w:val="24"/>
          <w:szCs w:val="24"/>
        </w:rPr>
        <w:t xml:space="preserve">  You should</w:t>
      </w:r>
      <w:r w:rsidRPr="009A5F33">
        <w:rPr>
          <w:sz w:val="24"/>
          <w:szCs w:val="24"/>
        </w:rPr>
        <w:t xml:space="preserve"> use free periods during the day to complete these tasks outside of lessons.  To keep a good work/life balance, you might like to treat College as </w:t>
      </w:r>
      <w:r w:rsidR="00161B35" w:rsidRPr="009A5F33">
        <w:rPr>
          <w:sz w:val="24"/>
          <w:szCs w:val="24"/>
        </w:rPr>
        <w:t>a</w:t>
      </w:r>
      <w:r w:rsidRPr="009A5F33">
        <w:rPr>
          <w:sz w:val="24"/>
          <w:szCs w:val="24"/>
        </w:rPr>
        <w:t xml:space="preserve"> 0845 to 1615 day and use your free periods in the library completing tasks.  This will minimise the work you need to complete at home and </w:t>
      </w:r>
      <w:r w:rsidR="00A26F58" w:rsidRPr="009A5F33">
        <w:rPr>
          <w:sz w:val="24"/>
          <w:szCs w:val="24"/>
        </w:rPr>
        <w:t>might make you more productive.</w:t>
      </w:r>
      <w:r w:rsidRPr="009A5F33">
        <w:rPr>
          <w:sz w:val="24"/>
          <w:szCs w:val="24"/>
        </w:rPr>
        <w:t xml:space="preserve">  </w:t>
      </w:r>
    </w:p>
    <w:p w:rsidR="00190FF1" w:rsidRPr="00190FF1" w:rsidRDefault="00190FF1" w:rsidP="00190FF1">
      <w:pPr>
        <w:rPr>
          <w:sz w:val="24"/>
          <w:szCs w:val="24"/>
        </w:rPr>
      </w:pPr>
      <w:r>
        <w:rPr>
          <w:sz w:val="24"/>
          <w:szCs w:val="24"/>
        </w:rPr>
        <w:t xml:space="preserve">Students studying in the Art and Design Department are expected to meet the expectation of ‘50/50’. This means that they match every hour of study in lessons with an hour of independent work. This will include </w:t>
      </w:r>
      <w:r w:rsidRPr="00190FF1">
        <w:rPr>
          <w:b/>
          <w:sz w:val="24"/>
          <w:szCs w:val="24"/>
        </w:rPr>
        <w:lastRenderedPageBreak/>
        <w:t>structured homework</w:t>
      </w:r>
      <w:r>
        <w:rPr>
          <w:b/>
          <w:sz w:val="24"/>
          <w:szCs w:val="24"/>
        </w:rPr>
        <w:t xml:space="preserve"> </w:t>
      </w:r>
      <w:r>
        <w:rPr>
          <w:sz w:val="24"/>
          <w:szCs w:val="24"/>
        </w:rPr>
        <w:t xml:space="preserve">tasks set by your teachers and you should expect booth of your teachers (if co-taught) to set work each week. </w:t>
      </w:r>
    </w:p>
    <w:p w:rsidR="00D05334" w:rsidRPr="00190FF1" w:rsidRDefault="00190FF1" w:rsidP="00190FF1">
      <w:pPr>
        <w:rPr>
          <w:sz w:val="24"/>
          <w:szCs w:val="24"/>
        </w:rPr>
      </w:pPr>
      <w:r>
        <w:rPr>
          <w:sz w:val="24"/>
          <w:szCs w:val="24"/>
        </w:rPr>
        <w:t xml:space="preserve">In addition to this, you will need to complete </w:t>
      </w:r>
      <w:r>
        <w:rPr>
          <w:b/>
          <w:sz w:val="24"/>
          <w:szCs w:val="24"/>
        </w:rPr>
        <w:t>p</w:t>
      </w:r>
      <w:r w:rsidR="00D05334" w:rsidRPr="00190FF1">
        <w:rPr>
          <w:b/>
          <w:sz w:val="24"/>
          <w:szCs w:val="24"/>
        </w:rPr>
        <w:t>roactive work</w:t>
      </w:r>
      <w:r>
        <w:rPr>
          <w:sz w:val="24"/>
          <w:szCs w:val="24"/>
        </w:rPr>
        <w:t xml:space="preserve"> - tasks that</w:t>
      </w:r>
      <w:r w:rsidR="00D05334" w:rsidRPr="00190FF1">
        <w:rPr>
          <w:sz w:val="24"/>
          <w:szCs w:val="24"/>
        </w:rPr>
        <w:t xml:space="preserve"> improve your understanding of a topic, revise material in preparation for an assessment, or </w:t>
      </w:r>
      <w:r>
        <w:rPr>
          <w:sz w:val="24"/>
          <w:szCs w:val="24"/>
        </w:rPr>
        <w:t>extend</w:t>
      </w:r>
      <w:r w:rsidR="00D05334" w:rsidRPr="00190FF1">
        <w:rPr>
          <w:sz w:val="24"/>
          <w:szCs w:val="24"/>
        </w:rPr>
        <w:t xml:space="preserve"> your knowledge. </w:t>
      </w:r>
      <w:r>
        <w:rPr>
          <w:sz w:val="24"/>
          <w:szCs w:val="24"/>
        </w:rPr>
        <w:t>Speak to you subject teacher if you need additional help with proactive work</w:t>
      </w:r>
      <w:r w:rsidR="00D05334" w:rsidRPr="00190FF1">
        <w:rPr>
          <w:sz w:val="24"/>
          <w:szCs w:val="24"/>
        </w:rPr>
        <w:t>.</w:t>
      </w:r>
      <w:r>
        <w:rPr>
          <w:sz w:val="24"/>
          <w:szCs w:val="24"/>
        </w:rPr>
        <w:t xml:space="preserve"> Overall you should aim to spend between 4.5-6 hours each week on your Art and Design course outside of lessons. </w:t>
      </w:r>
    </w:p>
    <w:p w:rsidR="00DF6204" w:rsidRDefault="00DF6204" w:rsidP="00134A74">
      <w:pPr>
        <w:rPr>
          <w:sz w:val="24"/>
          <w:szCs w:val="24"/>
        </w:rPr>
      </w:pPr>
      <w:r w:rsidRPr="009A5F33">
        <w:rPr>
          <w:sz w:val="24"/>
          <w:szCs w:val="24"/>
        </w:rPr>
        <w:t>When w</w:t>
      </w:r>
      <w:r w:rsidR="008E34BA">
        <w:rPr>
          <w:sz w:val="24"/>
          <w:szCs w:val="24"/>
        </w:rPr>
        <w:t xml:space="preserve">ork is taken in to be assessed (revision sheets, </w:t>
      </w:r>
      <w:r w:rsidRPr="009A5F33">
        <w:rPr>
          <w:sz w:val="24"/>
          <w:szCs w:val="24"/>
        </w:rPr>
        <w:t>consolidation tasks</w:t>
      </w:r>
      <w:r w:rsidR="008E34BA">
        <w:rPr>
          <w:sz w:val="24"/>
          <w:szCs w:val="24"/>
        </w:rPr>
        <w:t xml:space="preserve"> etc.</w:t>
      </w:r>
      <w:r w:rsidRPr="009A5F33">
        <w:rPr>
          <w:sz w:val="24"/>
          <w:szCs w:val="24"/>
        </w:rPr>
        <w:t>) it will be returned to students within 10 working days. If work receives a formal mark then it will be accompanied by a departmental feedback sheet</w:t>
      </w:r>
      <w:r w:rsidR="004F4F4A">
        <w:rPr>
          <w:sz w:val="24"/>
          <w:szCs w:val="24"/>
        </w:rPr>
        <w:t xml:space="preserve"> and/or a 1-1, </w:t>
      </w:r>
      <w:r w:rsidRPr="009A5F33">
        <w:rPr>
          <w:sz w:val="24"/>
          <w:szCs w:val="24"/>
        </w:rPr>
        <w:t>outlining the different levels of the appropriate mark scheme.</w:t>
      </w:r>
    </w:p>
    <w:p w:rsidR="007C638C" w:rsidRPr="009A5F33" w:rsidRDefault="007C638C" w:rsidP="00134A74">
      <w:pPr>
        <w:rPr>
          <w:sz w:val="24"/>
          <w:szCs w:val="24"/>
        </w:rPr>
      </w:pPr>
      <w:r>
        <w:rPr>
          <w:sz w:val="24"/>
          <w:szCs w:val="24"/>
        </w:rPr>
        <w:t xml:space="preserve">The majority of feedback in Art and Design is through 1-1 sessions. Weekly work will be checked by you teacher, who will provide feedback on how to improve. </w:t>
      </w:r>
    </w:p>
    <w:p w:rsidR="00DF6204" w:rsidRPr="009A5F33" w:rsidRDefault="00DF6204" w:rsidP="00134A74">
      <w:pPr>
        <w:rPr>
          <w:sz w:val="24"/>
          <w:szCs w:val="24"/>
        </w:rPr>
      </w:pPr>
      <w:r w:rsidRPr="009A5F33">
        <w:rPr>
          <w:sz w:val="24"/>
          <w:szCs w:val="24"/>
        </w:rPr>
        <w:t xml:space="preserve">Students can expect their work to be returned within an appropriate timeframe and with clear developmental targets. In return it is expected that students will meet the deadlines set by teachers and remain up to date. To help students do this they need to record homework carefully in a diary or planner, and organise their study periods each week to spread their workloads out evenly. </w:t>
      </w:r>
      <w:r w:rsidR="000C6D4E" w:rsidRPr="009A5F33">
        <w:rPr>
          <w:sz w:val="24"/>
          <w:szCs w:val="24"/>
        </w:rPr>
        <w:t xml:space="preserve">The department also offers </w:t>
      </w:r>
      <w:r w:rsidR="00533435">
        <w:rPr>
          <w:sz w:val="24"/>
          <w:szCs w:val="24"/>
        </w:rPr>
        <w:t>a range of weekly workshops to provide extra support to students. See the posters displayed around the department for more information.</w:t>
      </w:r>
      <w:r w:rsidR="000C6D4E" w:rsidRPr="009A5F33">
        <w:rPr>
          <w:sz w:val="24"/>
          <w:szCs w:val="24"/>
        </w:rPr>
        <w:t xml:space="preserve"> </w:t>
      </w:r>
    </w:p>
    <w:p w:rsidR="00BA3614" w:rsidRPr="009A5F33" w:rsidRDefault="00BA3614" w:rsidP="00134A74">
      <w:pPr>
        <w:rPr>
          <w:sz w:val="24"/>
          <w:szCs w:val="24"/>
        </w:rPr>
      </w:pPr>
      <w:r w:rsidRPr="009A5F33">
        <w:rPr>
          <w:sz w:val="24"/>
          <w:szCs w:val="24"/>
        </w:rPr>
        <w:t>If work is not submitted on time then the student will be spoken to by their subject teacher to find out the reason for this. If appropriate</w:t>
      </w:r>
      <w:r w:rsidR="00533435">
        <w:rPr>
          <w:sz w:val="24"/>
          <w:szCs w:val="24"/>
        </w:rPr>
        <w:t>,</w:t>
      </w:r>
      <w:r w:rsidRPr="009A5F33">
        <w:rPr>
          <w:sz w:val="24"/>
          <w:szCs w:val="24"/>
        </w:rPr>
        <w:t xml:space="preserve"> the student will then be given a warning and a revised deadline set. The department may also place a student on an action plan to give them a 3-5 week window to improve their performance, after which, if they have failed to do so, they will enter the college’s disciplinary system.</w:t>
      </w:r>
    </w:p>
    <w:p w:rsidR="00BA3614" w:rsidRPr="009A5F33" w:rsidRDefault="00BA3614" w:rsidP="00134A74">
      <w:pPr>
        <w:rPr>
          <w:sz w:val="24"/>
          <w:szCs w:val="24"/>
        </w:rPr>
      </w:pPr>
      <w:r w:rsidRPr="009A5F33">
        <w:rPr>
          <w:sz w:val="24"/>
          <w:szCs w:val="24"/>
        </w:rPr>
        <w:t>The department also reserves the right to not mark any work which is handed in after the set deadline.</w:t>
      </w:r>
    </w:p>
    <w:p w:rsidR="00A26F58" w:rsidRPr="009A5F33" w:rsidRDefault="00A26F58" w:rsidP="00134A74">
      <w:pPr>
        <w:rPr>
          <w:sz w:val="24"/>
          <w:szCs w:val="24"/>
        </w:rPr>
      </w:pPr>
    </w:p>
    <w:p w:rsidR="00A26F58" w:rsidRPr="009A5F33" w:rsidRDefault="00A26F58" w:rsidP="00134A74">
      <w:pPr>
        <w:rPr>
          <w:b/>
          <w:caps/>
          <w:sz w:val="24"/>
          <w:szCs w:val="24"/>
          <w:u w:val="single"/>
        </w:rPr>
      </w:pPr>
      <w:r w:rsidRPr="009A5F33">
        <w:rPr>
          <w:b/>
          <w:caps/>
          <w:sz w:val="24"/>
          <w:szCs w:val="24"/>
          <w:highlight w:val="yellow"/>
          <w:u w:val="single"/>
        </w:rPr>
        <w:t>Benchmark Assessment</w:t>
      </w:r>
      <w:r w:rsidR="00DF6204" w:rsidRPr="009A5F33">
        <w:rPr>
          <w:b/>
          <w:caps/>
          <w:sz w:val="24"/>
          <w:szCs w:val="24"/>
          <w:highlight w:val="yellow"/>
          <w:u w:val="single"/>
        </w:rPr>
        <w:t>s</w:t>
      </w:r>
    </w:p>
    <w:p w:rsidR="00B8366A" w:rsidRDefault="00B8366A" w:rsidP="00B8366A">
      <w:pPr>
        <w:spacing w:after="0"/>
        <w:rPr>
          <w:sz w:val="24"/>
          <w:szCs w:val="24"/>
        </w:rPr>
      </w:pPr>
      <w:r>
        <w:rPr>
          <w:sz w:val="24"/>
          <w:szCs w:val="24"/>
        </w:rPr>
        <w:t>Students will have seven benchmark assessments dur</w:t>
      </w:r>
      <w:r w:rsidR="00BA2F2C">
        <w:rPr>
          <w:sz w:val="24"/>
          <w:szCs w:val="24"/>
        </w:rPr>
        <w:t>ing their two years (36 weeks)</w:t>
      </w:r>
      <w:r>
        <w:rPr>
          <w:sz w:val="24"/>
          <w:szCs w:val="24"/>
        </w:rPr>
        <w:t xml:space="preserve"> in the Art and Design Department. These are important progress checks that are used to gauge the progress students are making, identify any who are under-performing so support can b</w:t>
      </w:r>
      <w:r w:rsidR="00BA2F2C">
        <w:rPr>
          <w:sz w:val="24"/>
          <w:szCs w:val="24"/>
        </w:rPr>
        <w:t>e put in place, and provide</w:t>
      </w:r>
      <w:r>
        <w:rPr>
          <w:sz w:val="24"/>
          <w:szCs w:val="24"/>
        </w:rPr>
        <w:t xml:space="preserve"> students with developed feedback on their work. </w:t>
      </w:r>
    </w:p>
    <w:p w:rsidR="00BA2F2C" w:rsidRDefault="00BA2F2C" w:rsidP="00B8366A">
      <w:pPr>
        <w:spacing w:after="0"/>
        <w:rPr>
          <w:sz w:val="24"/>
          <w:szCs w:val="24"/>
        </w:rPr>
      </w:pPr>
    </w:p>
    <w:p w:rsidR="00BA2F2C" w:rsidRDefault="00BA2F2C" w:rsidP="00B8366A">
      <w:pPr>
        <w:spacing w:after="0"/>
        <w:rPr>
          <w:sz w:val="24"/>
          <w:szCs w:val="24"/>
        </w:rPr>
      </w:pPr>
      <w:r>
        <w:rPr>
          <w:sz w:val="24"/>
          <w:szCs w:val="24"/>
        </w:rPr>
        <w:t>Each benchmark assessment will include the following:</w:t>
      </w:r>
    </w:p>
    <w:p w:rsidR="00BA2F2C" w:rsidRPr="00B8366A" w:rsidRDefault="00BA2F2C" w:rsidP="00B8366A">
      <w:pPr>
        <w:spacing w:after="0"/>
        <w:rPr>
          <w:sz w:val="24"/>
          <w:szCs w:val="24"/>
        </w:rPr>
      </w:pPr>
    </w:p>
    <w:p w:rsidR="00A93FE6" w:rsidRPr="009A5F33" w:rsidRDefault="00A93FE6" w:rsidP="00A93FE6">
      <w:pPr>
        <w:pStyle w:val="ListParagraph"/>
        <w:numPr>
          <w:ilvl w:val="0"/>
          <w:numId w:val="6"/>
        </w:numPr>
        <w:spacing w:after="0"/>
        <w:rPr>
          <w:sz w:val="24"/>
          <w:szCs w:val="24"/>
        </w:rPr>
      </w:pPr>
      <w:r w:rsidRPr="009A5F33">
        <w:rPr>
          <w:sz w:val="24"/>
          <w:szCs w:val="24"/>
        </w:rPr>
        <w:t>WRITTEN FEEDBACK: Each benchmark assessment will receive substantial written feedback in the form of comments on a cover sheet that relate directly to the assessment criteria of the exam board.  Alongside this, symbols (representing comments) and questions will be posed about how to improve).</w:t>
      </w:r>
    </w:p>
    <w:p w:rsidR="00A93FE6" w:rsidRPr="009A5F33" w:rsidRDefault="00A93FE6" w:rsidP="00A93FE6">
      <w:pPr>
        <w:pStyle w:val="ListParagraph"/>
        <w:numPr>
          <w:ilvl w:val="0"/>
          <w:numId w:val="6"/>
        </w:numPr>
        <w:spacing w:after="0"/>
        <w:rPr>
          <w:sz w:val="24"/>
          <w:szCs w:val="24"/>
        </w:rPr>
      </w:pPr>
      <w:r w:rsidRPr="009A5F33">
        <w:rPr>
          <w:sz w:val="24"/>
          <w:szCs w:val="24"/>
        </w:rPr>
        <w:t xml:space="preserve">VERBAL FEEDBACK: </w:t>
      </w:r>
      <w:proofErr w:type="gramStart"/>
      <w:r w:rsidRPr="009A5F33">
        <w:rPr>
          <w:sz w:val="24"/>
          <w:szCs w:val="24"/>
        </w:rPr>
        <w:t>1-2-1’s</w:t>
      </w:r>
      <w:proofErr w:type="gramEnd"/>
      <w:r w:rsidRPr="009A5F33">
        <w:rPr>
          <w:sz w:val="24"/>
          <w:szCs w:val="24"/>
        </w:rPr>
        <w:t xml:space="preserve"> with your teachers will be held throughout the year. These may take the form of brief discussions following the return of benchmarks, or more general discussions in the build-up to student reviews and following end of year exams</w:t>
      </w:r>
    </w:p>
    <w:p w:rsidR="00A93FE6" w:rsidRPr="009A5F33" w:rsidRDefault="00A93FE6" w:rsidP="00A93FE6">
      <w:pPr>
        <w:pStyle w:val="ListParagraph"/>
        <w:numPr>
          <w:ilvl w:val="0"/>
          <w:numId w:val="6"/>
        </w:numPr>
        <w:spacing w:after="0"/>
        <w:rPr>
          <w:sz w:val="24"/>
          <w:szCs w:val="24"/>
        </w:rPr>
      </w:pPr>
      <w:r w:rsidRPr="009A5F33">
        <w:rPr>
          <w:sz w:val="24"/>
          <w:szCs w:val="24"/>
        </w:rPr>
        <w:lastRenderedPageBreak/>
        <w:t xml:space="preserve">These benchmark assessments will feed directly into the student reviews (‘reports’) which get sent home to your parents.  </w:t>
      </w:r>
    </w:p>
    <w:p w:rsidR="00A93FE6" w:rsidRPr="009A5F33" w:rsidRDefault="00A93FE6" w:rsidP="00A93FE6">
      <w:pPr>
        <w:pStyle w:val="ListParagraph"/>
        <w:numPr>
          <w:ilvl w:val="0"/>
          <w:numId w:val="6"/>
        </w:numPr>
        <w:spacing w:after="0"/>
        <w:rPr>
          <w:sz w:val="24"/>
          <w:szCs w:val="24"/>
        </w:rPr>
      </w:pPr>
      <w:r w:rsidRPr="009A5F33">
        <w:rPr>
          <w:sz w:val="24"/>
          <w:szCs w:val="24"/>
        </w:rPr>
        <w:t xml:space="preserve">REFLECTION AND TARGET SETTING: After each assessment, students will be expected to reflect on the written feedback from their teacher and set themselves targets for improvement in the period in question.  </w:t>
      </w:r>
    </w:p>
    <w:p w:rsidR="00A93FE6" w:rsidRPr="009A5F33" w:rsidRDefault="00A93FE6" w:rsidP="00A93FE6">
      <w:pPr>
        <w:pStyle w:val="ListParagraph"/>
        <w:numPr>
          <w:ilvl w:val="0"/>
          <w:numId w:val="6"/>
        </w:numPr>
        <w:spacing w:after="0"/>
        <w:rPr>
          <w:sz w:val="24"/>
          <w:szCs w:val="24"/>
        </w:rPr>
      </w:pPr>
      <w:r w:rsidRPr="009A5F33">
        <w:rPr>
          <w:sz w:val="24"/>
          <w:szCs w:val="24"/>
        </w:rPr>
        <w:t>FOLLOW UP WORK: After each benchmark, work will be set to consolidate students’ understanding such as revision sheets. The idea is to learn from the mistakes in your written work.  Students who perform particularly badly are encouraged to rewrite the assessment and submit to the teacher for another grade.</w:t>
      </w:r>
    </w:p>
    <w:p w:rsidR="00A26F58" w:rsidRDefault="00A26F58" w:rsidP="00134A74">
      <w:pPr>
        <w:rPr>
          <w:b/>
          <w:sz w:val="24"/>
          <w:szCs w:val="24"/>
          <w:u w:val="single"/>
        </w:rPr>
      </w:pPr>
    </w:p>
    <w:p w:rsidR="004F4F4A" w:rsidRPr="00BA2F2C" w:rsidRDefault="004F4F4A" w:rsidP="00134A74">
      <w:pPr>
        <w:rPr>
          <w:sz w:val="24"/>
          <w:szCs w:val="24"/>
        </w:rPr>
      </w:pPr>
      <w:r w:rsidRPr="00BA2F2C">
        <w:rPr>
          <w:sz w:val="24"/>
          <w:szCs w:val="24"/>
        </w:rPr>
        <w:t>Results in benchmark assessments are important to help you understand how you are performing in a particular area and to receive and apply the feedback that will help you improve. Individual benchmark results</w:t>
      </w:r>
      <w:r w:rsidR="00161B35" w:rsidRPr="00BA2F2C">
        <w:rPr>
          <w:sz w:val="24"/>
          <w:szCs w:val="24"/>
        </w:rPr>
        <w:t xml:space="preserve"> </w:t>
      </w:r>
      <w:r w:rsidRPr="00BA2F2C">
        <w:rPr>
          <w:sz w:val="24"/>
          <w:szCs w:val="24"/>
        </w:rPr>
        <w:t>are not</w:t>
      </w:r>
      <w:r w:rsidR="00161B35" w:rsidRPr="00BA2F2C">
        <w:rPr>
          <w:sz w:val="24"/>
          <w:szCs w:val="24"/>
        </w:rPr>
        <w:t xml:space="preserve">, however, </w:t>
      </w:r>
      <w:r w:rsidRPr="00BA2F2C">
        <w:rPr>
          <w:sz w:val="24"/>
          <w:szCs w:val="24"/>
        </w:rPr>
        <w:t xml:space="preserve">predictions of how you will perform in either component of the final assessment. </w:t>
      </w:r>
    </w:p>
    <w:p w:rsidR="004F4F4A" w:rsidRDefault="004F4F4A" w:rsidP="00134A74">
      <w:pPr>
        <w:rPr>
          <w:sz w:val="24"/>
          <w:szCs w:val="24"/>
        </w:rPr>
      </w:pPr>
      <w:r w:rsidRPr="00BA2F2C">
        <w:rPr>
          <w:sz w:val="24"/>
          <w:szCs w:val="24"/>
        </w:rPr>
        <w:t xml:space="preserve">Your teachers and the department as a whole are not allowed to give a ‘grade’ prediction for either the Personal Investigation or the Externally-set Assignment </w:t>
      </w:r>
      <w:r w:rsidR="00894425" w:rsidRPr="00BA2F2C">
        <w:rPr>
          <w:sz w:val="24"/>
          <w:szCs w:val="24"/>
        </w:rPr>
        <w:t xml:space="preserve">as both are subject to external moderation. </w:t>
      </w:r>
    </w:p>
    <w:tbl>
      <w:tblPr>
        <w:tblStyle w:val="TableGrid"/>
        <w:tblW w:w="10456" w:type="dxa"/>
        <w:tblInd w:w="250" w:type="dxa"/>
        <w:tblLook w:val="04A0" w:firstRow="1" w:lastRow="0" w:firstColumn="1" w:lastColumn="0" w:noHBand="0" w:noVBand="1"/>
      </w:tblPr>
      <w:tblGrid>
        <w:gridCol w:w="1828"/>
        <w:gridCol w:w="3521"/>
        <w:gridCol w:w="2572"/>
        <w:gridCol w:w="2535"/>
      </w:tblGrid>
      <w:tr w:rsidR="00D07038" w:rsidRPr="00B05A0B" w:rsidTr="00D07038">
        <w:trPr>
          <w:trHeight w:val="353"/>
        </w:trPr>
        <w:tc>
          <w:tcPr>
            <w:tcW w:w="1828" w:type="dxa"/>
            <w:shd w:val="clear" w:color="auto" w:fill="FFC000"/>
            <w:vAlign w:val="center"/>
          </w:tcPr>
          <w:p w:rsidR="00D07038" w:rsidRPr="00B05A0B" w:rsidRDefault="00D07038" w:rsidP="00D07038">
            <w:pPr>
              <w:spacing w:after="0"/>
              <w:jc w:val="center"/>
              <w:rPr>
                <w:b/>
                <w:sz w:val="20"/>
                <w:szCs w:val="20"/>
              </w:rPr>
            </w:pPr>
            <w:r w:rsidRPr="00B05A0B">
              <w:rPr>
                <w:b/>
                <w:sz w:val="20"/>
                <w:szCs w:val="20"/>
              </w:rPr>
              <w:t>First Year</w:t>
            </w:r>
          </w:p>
        </w:tc>
        <w:tc>
          <w:tcPr>
            <w:tcW w:w="3521" w:type="dxa"/>
            <w:shd w:val="clear" w:color="auto" w:fill="FFC000"/>
            <w:vAlign w:val="center"/>
          </w:tcPr>
          <w:p w:rsidR="00D07038" w:rsidRPr="00B05A0B" w:rsidRDefault="00D07038" w:rsidP="00D07038">
            <w:pPr>
              <w:spacing w:after="0"/>
              <w:jc w:val="center"/>
              <w:rPr>
                <w:b/>
                <w:sz w:val="20"/>
                <w:szCs w:val="20"/>
              </w:rPr>
            </w:pPr>
            <w:r w:rsidRPr="00B05A0B">
              <w:rPr>
                <w:b/>
                <w:sz w:val="20"/>
                <w:szCs w:val="20"/>
              </w:rPr>
              <w:t>Type</w:t>
            </w:r>
          </w:p>
        </w:tc>
        <w:tc>
          <w:tcPr>
            <w:tcW w:w="2572" w:type="dxa"/>
            <w:shd w:val="clear" w:color="auto" w:fill="FFC000"/>
            <w:vAlign w:val="center"/>
          </w:tcPr>
          <w:p w:rsidR="00D07038" w:rsidRPr="00B05A0B" w:rsidRDefault="00D07038" w:rsidP="00D07038">
            <w:pPr>
              <w:spacing w:after="0"/>
              <w:jc w:val="center"/>
              <w:rPr>
                <w:b/>
                <w:sz w:val="20"/>
                <w:szCs w:val="20"/>
              </w:rPr>
            </w:pPr>
            <w:r>
              <w:rPr>
                <w:b/>
                <w:sz w:val="20"/>
                <w:szCs w:val="20"/>
              </w:rPr>
              <w:t xml:space="preserve">Mark </w:t>
            </w:r>
            <w:r w:rsidRPr="00B05A0B">
              <w:rPr>
                <w:b/>
                <w:sz w:val="20"/>
                <w:szCs w:val="20"/>
              </w:rPr>
              <w:t>Uploaded by</w:t>
            </w:r>
          </w:p>
        </w:tc>
        <w:tc>
          <w:tcPr>
            <w:tcW w:w="2535" w:type="dxa"/>
            <w:shd w:val="clear" w:color="auto" w:fill="FFC000"/>
            <w:vAlign w:val="center"/>
          </w:tcPr>
          <w:p w:rsidR="00D07038" w:rsidRPr="00B05A0B" w:rsidRDefault="00D07038" w:rsidP="00D07038">
            <w:pPr>
              <w:spacing w:after="0"/>
              <w:jc w:val="center"/>
              <w:rPr>
                <w:b/>
                <w:sz w:val="20"/>
                <w:szCs w:val="20"/>
              </w:rPr>
            </w:pPr>
            <w:r w:rsidRPr="00B05A0B">
              <w:rPr>
                <w:b/>
                <w:sz w:val="20"/>
                <w:szCs w:val="20"/>
              </w:rPr>
              <w:t>Deadline</w:t>
            </w:r>
          </w:p>
        </w:tc>
      </w:tr>
      <w:tr w:rsidR="00D07038" w:rsidRPr="00B05A0B" w:rsidTr="009D6BCF">
        <w:trPr>
          <w:trHeight w:val="712"/>
        </w:trPr>
        <w:tc>
          <w:tcPr>
            <w:tcW w:w="1828" w:type="dxa"/>
            <w:vAlign w:val="center"/>
          </w:tcPr>
          <w:p w:rsidR="00D07038" w:rsidRPr="00B05A0B" w:rsidRDefault="00D07038" w:rsidP="00D07038">
            <w:pPr>
              <w:spacing w:after="0"/>
              <w:ind w:left="436" w:hanging="436"/>
              <w:jc w:val="center"/>
              <w:rPr>
                <w:b/>
                <w:sz w:val="20"/>
                <w:szCs w:val="20"/>
              </w:rPr>
            </w:pPr>
            <w:r>
              <w:rPr>
                <w:b/>
                <w:sz w:val="20"/>
                <w:szCs w:val="20"/>
              </w:rPr>
              <w:t xml:space="preserve">Benchmark </w:t>
            </w:r>
            <w:r w:rsidRPr="00B05A0B">
              <w:rPr>
                <w:b/>
                <w:sz w:val="20"/>
                <w:szCs w:val="20"/>
              </w:rPr>
              <w:t>1</w:t>
            </w:r>
          </w:p>
        </w:tc>
        <w:tc>
          <w:tcPr>
            <w:tcW w:w="3521" w:type="dxa"/>
            <w:vAlign w:val="center"/>
          </w:tcPr>
          <w:p w:rsidR="00D07038" w:rsidRPr="00B05A0B" w:rsidRDefault="009D6BCF" w:rsidP="009D6BCF">
            <w:pPr>
              <w:spacing w:after="0"/>
              <w:jc w:val="center"/>
              <w:rPr>
                <w:sz w:val="20"/>
                <w:szCs w:val="20"/>
              </w:rPr>
            </w:pPr>
            <w:r>
              <w:rPr>
                <w:sz w:val="20"/>
                <w:szCs w:val="20"/>
              </w:rPr>
              <w:t xml:space="preserve">Sketch books and class work </w:t>
            </w:r>
            <w:r w:rsidR="00D07038" w:rsidRPr="00B05A0B">
              <w:rPr>
                <w:sz w:val="20"/>
                <w:szCs w:val="20"/>
              </w:rPr>
              <w:t xml:space="preserve"> to be assessed</w:t>
            </w:r>
          </w:p>
        </w:tc>
        <w:tc>
          <w:tcPr>
            <w:tcW w:w="2572" w:type="dxa"/>
            <w:vAlign w:val="center"/>
          </w:tcPr>
          <w:p w:rsidR="00D07038" w:rsidRPr="00B05A0B" w:rsidRDefault="00D07038" w:rsidP="00D07038">
            <w:pPr>
              <w:spacing w:after="0"/>
              <w:jc w:val="center"/>
              <w:rPr>
                <w:sz w:val="20"/>
                <w:szCs w:val="20"/>
              </w:rPr>
            </w:pPr>
            <w:r>
              <w:rPr>
                <w:sz w:val="20"/>
                <w:szCs w:val="20"/>
              </w:rPr>
              <w:t>Lead Teacher</w:t>
            </w:r>
          </w:p>
        </w:tc>
        <w:tc>
          <w:tcPr>
            <w:tcW w:w="2535" w:type="dxa"/>
            <w:vAlign w:val="center"/>
          </w:tcPr>
          <w:p w:rsidR="00D07038" w:rsidRPr="00B05A0B" w:rsidRDefault="00D07038" w:rsidP="00D07038">
            <w:pPr>
              <w:spacing w:after="0"/>
              <w:jc w:val="center"/>
              <w:rPr>
                <w:sz w:val="20"/>
                <w:szCs w:val="20"/>
              </w:rPr>
            </w:pPr>
            <w:r w:rsidRPr="00B05A0B">
              <w:rPr>
                <w:b/>
                <w:color w:val="2F5496" w:themeColor="accent5" w:themeShade="BF"/>
                <w:sz w:val="20"/>
                <w:szCs w:val="20"/>
              </w:rPr>
              <w:t>11/11/19</w:t>
            </w:r>
          </w:p>
        </w:tc>
      </w:tr>
      <w:tr w:rsidR="009D6BCF" w:rsidRPr="00B05A0B" w:rsidTr="009D6BCF">
        <w:trPr>
          <w:trHeight w:val="712"/>
        </w:trPr>
        <w:tc>
          <w:tcPr>
            <w:tcW w:w="1828" w:type="dxa"/>
            <w:vAlign w:val="center"/>
          </w:tcPr>
          <w:p w:rsidR="009D6BCF" w:rsidRPr="00B05A0B" w:rsidRDefault="009D6BCF" w:rsidP="009D6BCF">
            <w:pPr>
              <w:spacing w:after="0"/>
              <w:jc w:val="center"/>
              <w:rPr>
                <w:b/>
                <w:sz w:val="20"/>
                <w:szCs w:val="20"/>
              </w:rPr>
            </w:pPr>
            <w:r>
              <w:rPr>
                <w:b/>
                <w:sz w:val="20"/>
                <w:szCs w:val="20"/>
              </w:rPr>
              <w:t>Benchmark</w:t>
            </w:r>
            <w:r w:rsidRPr="00B05A0B">
              <w:rPr>
                <w:b/>
                <w:sz w:val="20"/>
                <w:szCs w:val="20"/>
              </w:rPr>
              <w:t xml:space="preserve"> 2</w:t>
            </w:r>
          </w:p>
        </w:tc>
        <w:tc>
          <w:tcPr>
            <w:tcW w:w="3521" w:type="dxa"/>
            <w:vAlign w:val="center"/>
          </w:tcPr>
          <w:p w:rsidR="009D6BCF" w:rsidRDefault="009D6BCF" w:rsidP="009D6BCF">
            <w:pPr>
              <w:jc w:val="center"/>
            </w:pPr>
            <w:r w:rsidRPr="00DE35ED">
              <w:rPr>
                <w:sz w:val="20"/>
                <w:szCs w:val="20"/>
              </w:rPr>
              <w:t>Sketch books and class work  to be assessed</w:t>
            </w:r>
          </w:p>
        </w:tc>
        <w:tc>
          <w:tcPr>
            <w:tcW w:w="2572" w:type="dxa"/>
            <w:vAlign w:val="center"/>
          </w:tcPr>
          <w:p w:rsidR="009D6BCF" w:rsidRDefault="009D6BCF" w:rsidP="009D6BCF">
            <w:pPr>
              <w:spacing w:after="0"/>
              <w:jc w:val="center"/>
            </w:pPr>
            <w:r w:rsidRPr="002B3C7C">
              <w:rPr>
                <w:sz w:val="20"/>
                <w:szCs w:val="20"/>
              </w:rPr>
              <w:t>Lead Teacher</w:t>
            </w:r>
          </w:p>
        </w:tc>
        <w:tc>
          <w:tcPr>
            <w:tcW w:w="2535" w:type="dxa"/>
            <w:vAlign w:val="center"/>
          </w:tcPr>
          <w:p w:rsidR="009D6BCF" w:rsidRPr="00B05A0B" w:rsidRDefault="009D6BCF" w:rsidP="009D6BCF">
            <w:pPr>
              <w:spacing w:after="0"/>
              <w:jc w:val="center"/>
              <w:rPr>
                <w:sz w:val="20"/>
                <w:szCs w:val="20"/>
              </w:rPr>
            </w:pPr>
            <w:r w:rsidRPr="00B05A0B">
              <w:rPr>
                <w:b/>
                <w:color w:val="2F5496" w:themeColor="accent5" w:themeShade="BF"/>
                <w:sz w:val="20"/>
                <w:szCs w:val="20"/>
              </w:rPr>
              <w:t>16/01/20</w:t>
            </w:r>
          </w:p>
        </w:tc>
      </w:tr>
      <w:tr w:rsidR="009D6BCF" w:rsidRPr="00B05A0B" w:rsidTr="009D6BCF">
        <w:trPr>
          <w:trHeight w:val="712"/>
        </w:trPr>
        <w:tc>
          <w:tcPr>
            <w:tcW w:w="1828" w:type="dxa"/>
            <w:vAlign w:val="center"/>
          </w:tcPr>
          <w:p w:rsidR="009D6BCF" w:rsidRPr="00B05A0B" w:rsidRDefault="009D6BCF" w:rsidP="009D6BCF">
            <w:pPr>
              <w:spacing w:after="0"/>
              <w:jc w:val="center"/>
              <w:rPr>
                <w:b/>
                <w:sz w:val="20"/>
                <w:szCs w:val="20"/>
              </w:rPr>
            </w:pPr>
            <w:r>
              <w:rPr>
                <w:b/>
                <w:sz w:val="20"/>
                <w:szCs w:val="20"/>
              </w:rPr>
              <w:t>Benchmark</w:t>
            </w:r>
            <w:r w:rsidRPr="00B05A0B">
              <w:rPr>
                <w:b/>
                <w:sz w:val="20"/>
                <w:szCs w:val="20"/>
              </w:rPr>
              <w:t xml:space="preserve"> 3</w:t>
            </w:r>
          </w:p>
        </w:tc>
        <w:tc>
          <w:tcPr>
            <w:tcW w:w="3521" w:type="dxa"/>
            <w:vAlign w:val="center"/>
          </w:tcPr>
          <w:p w:rsidR="009D6BCF" w:rsidRDefault="009D6BCF" w:rsidP="009D6BCF">
            <w:pPr>
              <w:jc w:val="center"/>
            </w:pPr>
            <w:r w:rsidRPr="00DE35ED">
              <w:rPr>
                <w:sz w:val="20"/>
                <w:szCs w:val="20"/>
              </w:rPr>
              <w:t>Sketch books and class work  to be assessed</w:t>
            </w:r>
          </w:p>
        </w:tc>
        <w:tc>
          <w:tcPr>
            <w:tcW w:w="2572" w:type="dxa"/>
            <w:vAlign w:val="center"/>
          </w:tcPr>
          <w:p w:rsidR="009D6BCF" w:rsidRDefault="009D6BCF" w:rsidP="009D6BCF">
            <w:pPr>
              <w:spacing w:after="0"/>
              <w:jc w:val="center"/>
            </w:pPr>
            <w:r w:rsidRPr="002B3C7C">
              <w:rPr>
                <w:sz w:val="20"/>
                <w:szCs w:val="20"/>
              </w:rPr>
              <w:t>Lead Teacher</w:t>
            </w:r>
          </w:p>
        </w:tc>
        <w:tc>
          <w:tcPr>
            <w:tcW w:w="2535" w:type="dxa"/>
            <w:vAlign w:val="center"/>
          </w:tcPr>
          <w:p w:rsidR="009D6BCF" w:rsidRPr="00B05A0B" w:rsidRDefault="009D6BCF" w:rsidP="009D6BCF">
            <w:pPr>
              <w:spacing w:after="0"/>
              <w:jc w:val="center"/>
              <w:rPr>
                <w:sz w:val="20"/>
                <w:szCs w:val="20"/>
              </w:rPr>
            </w:pPr>
            <w:r w:rsidRPr="00B05A0B">
              <w:rPr>
                <w:b/>
                <w:color w:val="2F5496" w:themeColor="accent5" w:themeShade="BF"/>
                <w:sz w:val="20"/>
                <w:szCs w:val="20"/>
              </w:rPr>
              <w:t>04/05/20</w:t>
            </w:r>
          </w:p>
        </w:tc>
      </w:tr>
      <w:tr w:rsidR="009D6BCF" w:rsidRPr="00B05A0B" w:rsidTr="009D6BCF">
        <w:trPr>
          <w:trHeight w:val="712"/>
        </w:trPr>
        <w:tc>
          <w:tcPr>
            <w:tcW w:w="1828" w:type="dxa"/>
            <w:vAlign w:val="center"/>
          </w:tcPr>
          <w:p w:rsidR="009D6BCF" w:rsidRPr="00B05A0B" w:rsidRDefault="009D6BCF" w:rsidP="009D6BCF">
            <w:pPr>
              <w:spacing w:after="0"/>
              <w:jc w:val="center"/>
              <w:rPr>
                <w:b/>
                <w:sz w:val="20"/>
                <w:szCs w:val="20"/>
              </w:rPr>
            </w:pPr>
            <w:r>
              <w:rPr>
                <w:b/>
                <w:sz w:val="20"/>
                <w:szCs w:val="20"/>
              </w:rPr>
              <w:t>Benchmark</w:t>
            </w:r>
            <w:r w:rsidRPr="00B05A0B">
              <w:rPr>
                <w:b/>
                <w:sz w:val="20"/>
                <w:szCs w:val="20"/>
              </w:rPr>
              <w:t xml:space="preserve"> 4</w:t>
            </w:r>
          </w:p>
        </w:tc>
        <w:tc>
          <w:tcPr>
            <w:tcW w:w="3521" w:type="dxa"/>
            <w:vAlign w:val="center"/>
          </w:tcPr>
          <w:p w:rsidR="009D6BCF" w:rsidRDefault="009D6BCF" w:rsidP="009D6BCF">
            <w:pPr>
              <w:jc w:val="center"/>
            </w:pPr>
            <w:r w:rsidRPr="00DE35ED">
              <w:rPr>
                <w:sz w:val="20"/>
                <w:szCs w:val="20"/>
              </w:rPr>
              <w:t>Sketch books and class work  to be assessed</w:t>
            </w:r>
          </w:p>
        </w:tc>
        <w:tc>
          <w:tcPr>
            <w:tcW w:w="2572" w:type="dxa"/>
            <w:vAlign w:val="center"/>
          </w:tcPr>
          <w:p w:rsidR="009D6BCF" w:rsidRDefault="009D6BCF" w:rsidP="009D6BCF">
            <w:pPr>
              <w:spacing w:after="0"/>
              <w:jc w:val="center"/>
            </w:pPr>
            <w:r w:rsidRPr="002B3C7C">
              <w:rPr>
                <w:sz w:val="20"/>
                <w:szCs w:val="20"/>
              </w:rPr>
              <w:t>Lead Teacher</w:t>
            </w:r>
          </w:p>
        </w:tc>
        <w:tc>
          <w:tcPr>
            <w:tcW w:w="2535" w:type="dxa"/>
            <w:vAlign w:val="center"/>
          </w:tcPr>
          <w:p w:rsidR="009D6BCF" w:rsidRPr="00B05A0B" w:rsidRDefault="009D6BCF" w:rsidP="009D6BCF">
            <w:pPr>
              <w:spacing w:after="0"/>
              <w:jc w:val="center"/>
              <w:rPr>
                <w:sz w:val="20"/>
                <w:szCs w:val="20"/>
              </w:rPr>
            </w:pPr>
            <w:r w:rsidRPr="00B05A0B">
              <w:rPr>
                <w:b/>
                <w:color w:val="2F5496" w:themeColor="accent5" w:themeShade="BF"/>
                <w:sz w:val="20"/>
                <w:szCs w:val="20"/>
              </w:rPr>
              <w:t>17/06/20</w:t>
            </w:r>
          </w:p>
        </w:tc>
      </w:tr>
      <w:tr w:rsidR="00D07038" w:rsidRPr="00B05A0B" w:rsidTr="00D07038">
        <w:trPr>
          <w:trHeight w:val="438"/>
        </w:trPr>
        <w:tc>
          <w:tcPr>
            <w:tcW w:w="1828" w:type="dxa"/>
            <w:shd w:val="clear" w:color="auto" w:fill="FFC000"/>
            <w:vAlign w:val="center"/>
          </w:tcPr>
          <w:p w:rsidR="00D07038" w:rsidRPr="00B05A0B" w:rsidRDefault="00D07038" w:rsidP="00D07038">
            <w:pPr>
              <w:spacing w:after="0"/>
              <w:jc w:val="center"/>
              <w:rPr>
                <w:b/>
                <w:sz w:val="20"/>
                <w:szCs w:val="20"/>
              </w:rPr>
            </w:pPr>
            <w:r w:rsidRPr="00B05A0B">
              <w:rPr>
                <w:b/>
                <w:sz w:val="20"/>
                <w:szCs w:val="20"/>
              </w:rPr>
              <w:t>Second Year</w:t>
            </w:r>
          </w:p>
        </w:tc>
        <w:tc>
          <w:tcPr>
            <w:tcW w:w="3521" w:type="dxa"/>
            <w:shd w:val="clear" w:color="auto" w:fill="FFC000"/>
            <w:vAlign w:val="center"/>
          </w:tcPr>
          <w:p w:rsidR="00D07038" w:rsidRPr="00B05A0B" w:rsidRDefault="00D07038" w:rsidP="00D07038">
            <w:pPr>
              <w:spacing w:after="0"/>
              <w:jc w:val="center"/>
              <w:rPr>
                <w:b/>
                <w:sz w:val="20"/>
                <w:szCs w:val="20"/>
              </w:rPr>
            </w:pPr>
            <w:r w:rsidRPr="00B05A0B">
              <w:rPr>
                <w:b/>
                <w:sz w:val="20"/>
                <w:szCs w:val="20"/>
              </w:rPr>
              <w:t>Type</w:t>
            </w:r>
          </w:p>
        </w:tc>
        <w:tc>
          <w:tcPr>
            <w:tcW w:w="2572" w:type="dxa"/>
            <w:shd w:val="clear" w:color="auto" w:fill="FFC000"/>
            <w:vAlign w:val="center"/>
          </w:tcPr>
          <w:p w:rsidR="00D07038" w:rsidRPr="00B05A0B" w:rsidRDefault="00D07038" w:rsidP="00D07038">
            <w:pPr>
              <w:spacing w:after="0"/>
              <w:jc w:val="center"/>
              <w:rPr>
                <w:b/>
                <w:sz w:val="20"/>
                <w:szCs w:val="20"/>
              </w:rPr>
            </w:pPr>
            <w:r w:rsidRPr="00B05A0B">
              <w:rPr>
                <w:b/>
                <w:sz w:val="20"/>
                <w:szCs w:val="20"/>
              </w:rPr>
              <w:t>Uploaded by</w:t>
            </w:r>
          </w:p>
        </w:tc>
        <w:tc>
          <w:tcPr>
            <w:tcW w:w="2535" w:type="dxa"/>
            <w:shd w:val="clear" w:color="auto" w:fill="FFC000"/>
            <w:vAlign w:val="center"/>
          </w:tcPr>
          <w:p w:rsidR="00D07038" w:rsidRPr="00B05A0B" w:rsidRDefault="00D07038" w:rsidP="00D07038">
            <w:pPr>
              <w:spacing w:after="0"/>
              <w:jc w:val="center"/>
              <w:rPr>
                <w:b/>
                <w:sz w:val="20"/>
                <w:szCs w:val="20"/>
              </w:rPr>
            </w:pPr>
            <w:r w:rsidRPr="00B05A0B">
              <w:rPr>
                <w:b/>
                <w:sz w:val="20"/>
                <w:szCs w:val="20"/>
              </w:rPr>
              <w:t>Deadline</w:t>
            </w:r>
          </w:p>
        </w:tc>
      </w:tr>
      <w:tr w:rsidR="009D6BCF" w:rsidRPr="00B05A0B" w:rsidTr="009D6BCF">
        <w:trPr>
          <w:trHeight w:val="884"/>
        </w:trPr>
        <w:tc>
          <w:tcPr>
            <w:tcW w:w="1828" w:type="dxa"/>
            <w:vAlign w:val="center"/>
          </w:tcPr>
          <w:p w:rsidR="009D6BCF" w:rsidRPr="00B05A0B" w:rsidRDefault="009D6BCF" w:rsidP="009D6BCF">
            <w:pPr>
              <w:spacing w:after="0"/>
              <w:jc w:val="center"/>
              <w:rPr>
                <w:b/>
                <w:sz w:val="20"/>
                <w:szCs w:val="20"/>
              </w:rPr>
            </w:pPr>
            <w:r>
              <w:rPr>
                <w:b/>
                <w:sz w:val="20"/>
                <w:szCs w:val="20"/>
              </w:rPr>
              <w:t>Benchmark</w:t>
            </w:r>
            <w:r w:rsidRPr="00B05A0B">
              <w:rPr>
                <w:b/>
                <w:sz w:val="20"/>
                <w:szCs w:val="20"/>
              </w:rPr>
              <w:t xml:space="preserve"> 5</w:t>
            </w:r>
          </w:p>
        </w:tc>
        <w:tc>
          <w:tcPr>
            <w:tcW w:w="3521" w:type="dxa"/>
            <w:vAlign w:val="center"/>
          </w:tcPr>
          <w:p w:rsidR="009D6BCF" w:rsidRDefault="009D6BCF" w:rsidP="009D6BCF">
            <w:pPr>
              <w:jc w:val="center"/>
            </w:pPr>
            <w:r w:rsidRPr="008106F2">
              <w:rPr>
                <w:sz w:val="20"/>
                <w:szCs w:val="20"/>
              </w:rPr>
              <w:t>Sketch books and class work  to be assessed</w:t>
            </w:r>
          </w:p>
        </w:tc>
        <w:tc>
          <w:tcPr>
            <w:tcW w:w="2572" w:type="dxa"/>
            <w:vAlign w:val="center"/>
          </w:tcPr>
          <w:p w:rsidR="009D6BCF" w:rsidRDefault="009D6BCF" w:rsidP="009D6BCF">
            <w:pPr>
              <w:spacing w:after="0"/>
              <w:jc w:val="center"/>
            </w:pPr>
            <w:r w:rsidRPr="008F586D">
              <w:rPr>
                <w:sz w:val="20"/>
                <w:szCs w:val="20"/>
              </w:rPr>
              <w:t>Lead Teacher</w:t>
            </w:r>
          </w:p>
        </w:tc>
        <w:tc>
          <w:tcPr>
            <w:tcW w:w="2535" w:type="dxa"/>
            <w:vAlign w:val="center"/>
          </w:tcPr>
          <w:p w:rsidR="009D6BCF" w:rsidRPr="00B05A0B" w:rsidRDefault="009D6BCF" w:rsidP="009D6BCF">
            <w:pPr>
              <w:spacing w:after="0"/>
              <w:jc w:val="center"/>
              <w:rPr>
                <w:sz w:val="20"/>
                <w:szCs w:val="20"/>
              </w:rPr>
            </w:pPr>
            <w:r w:rsidRPr="00B05A0B">
              <w:rPr>
                <w:b/>
                <w:color w:val="2F5496" w:themeColor="accent5" w:themeShade="BF"/>
                <w:sz w:val="20"/>
                <w:szCs w:val="20"/>
              </w:rPr>
              <w:t>14/11/19</w:t>
            </w:r>
          </w:p>
        </w:tc>
      </w:tr>
      <w:tr w:rsidR="009D6BCF" w:rsidRPr="00B05A0B" w:rsidTr="009D6BCF">
        <w:trPr>
          <w:trHeight w:val="884"/>
        </w:trPr>
        <w:tc>
          <w:tcPr>
            <w:tcW w:w="1828" w:type="dxa"/>
            <w:vAlign w:val="center"/>
          </w:tcPr>
          <w:p w:rsidR="009D6BCF" w:rsidRPr="00B05A0B" w:rsidRDefault="009D6BCF" w:rsidP="009D6BCF">
            <w:pPr>
              <w:spacing w:after="0"/>
              <w:jc w:val="center"/>
              <w:rPr>
                <w:b/>
                <w:sz w:val="20"/>
                <w:szCs w:val="20"/>
              </w:rPr>
            </w:pPr>
            <w:r>
              <w:rPr>
                <w:b/>
                <w:sz w:val="20"/>
                <w:szCs w:val="20"/>
              </w:rPr>
              <w:t>Benchmark</w:t>
            </w:r>
            <w:r w:rsidRPr="00B05A0B">
              <w:rPr>
                <w:b/>
                <w:sz w:val="20"/>
                <w:szCs w:val="20"/>
              </w:rPr>
              <w:t xml:space="preserve"> 6</w:t>
            </w:r>
          </w:p>
        </w:tc>
        <w:tc>
          <w:tcPr>
            <w:tcW w:w="3521" w:type="dxa"/>
            <w:vAlign w:val="center"/>
          </w:tcPr>
          <w:p w:rsidR="009D6BCF" w:rsidRDefault="009D6BCF" w:rsidP="009D6BCF">
            <w:pPr>
              <w:jc w:val="center"/>
            </w:pPr>
            <w:r w:rsidRPr="008106F2">
              <w:rPr>
                <w:sz w:val="20"/>
                <w:szCs w:val="20"/>
              </w:rPr>
              <w:t>Sketch books and class work  to be assessed</w:t>
            </w:r>
          </w:p>
        </w:tc>
        <w:tc>
          <w:tcPr>
            <w:tcW w:w="2572" w:type="dxa"/>
            <w:vAlign w:val="center"/>
          </w:tcPr>
          <w:p w:rsidR="009D6BCF" w:rsidRDefault="009D6BCF" w:rsidP="009D6BCF">
            <w:pPr>
              <w:spacing w:after="0"/>
              <w:jc w:val="center"/>
            </w:pPr>
            <w:r w:rsidRPr="008F586D">
              <w:rPr>
                <w:sz w:val="20"/>
                <w:szCs w:val="20"/>
              </w:rPr>
              <w:t>Lead Teacher</w:t>
            </w:r>
          </w:p>
        </w:tc>
        <w:tc>
          <w:tcPr>
            <w:tcW w:w="2535" w:type="dxa"/>
            <w:vAlign w:val="center"/>
          </w:tcPr>
          <w:p w:rsidR="009D6BCF" w:rsidRPr="00B05A0B" w:rsidRDefault="009D6BCF" w:rsidP="009D6BCF">
            <w:pPr>
              <w:spacing w:after="0"/>
              <w:jc w:val="center"/>
              <w:rPr>
                <w:sz w:val="20"/>
                <w:szCs w:val="20"/>
              </w:rPr>
            </w:pPr>
            <w:r w:rsidRPr="00B05A0B">
              <w:rPr>
                <w:b/>
                <w:color w:val="2F5496" w:themeColor="accent5" w:themeShade="BF"/>
                <w:sz w:val="20"/>
                <w:szCs w:val="20"/>
              </w:rPr>
              <w:t>27/02/20</w:t>
            </w:r>
          </w:p>
        </w:tc>
      </w:tr>
      <w:tr w:rsidR="009D6BCF" w:rsidRPr="00B05A0B" w:rsidTr="009D6BCF">
        <w:trPr>
          <w:trHeight w:val="973"/>
        </w:trPr>
        <w:tc>
          <w:tcPr>
            <w:tcW w:w="1828" w:type="dxa"/>
            <w:vAlign w:val="center"/>
          </w:tcPr>
          <w:p w:rsidR="009D6BCF" w:rsidRPr="00B05A0B" w:rsidRDefault="009D6BCF" w:rsidP="009D6BCF">
            <w:pPr>
              <w:spacing w:after="0"/>
              <w:jc w:val="center"/>
              <w:rPr>
                <w:b/>
                <w:sz w:val="20"/>
                <w:szCs w:val="20"/>
              </w:rPr>
            </w:pPr>
            <w:r>
              <w:rPr>
                <w:b/>
                <w:sz w:val="20"/>
                <w:szCs w:val="20"/>
              </w:rPr>
              <w:t>Benchmark</w:t>
            </w:r>
            <w:r w:rsidRPr="00B05A0B">
              <w:rPr>
                <w:b/>
                <w:sz w:val="20"/>
                <w:szCs w:val="20"/>
              </w:rPr>
              <w:t xml:space="preserve"> 7</w:t>
            </w:r>
          </w:p>
        </w:tc>
        <w:tc>
          <w:tcPr>
            <w:tcW w:w="3521" w:type="dxa"/>
            <w:vAlign w:val="center"/>
          </w:tcPr>
          <w:p w:rsidR="009D6BCF" w:rsidRDefault="009D6BCF" w:rsidP="009D6BCF">
            <w:pPr>
              <w:jc w:val="center"/>
            </w:pPr>
            <w:r w:rsidRPr="008106F2">
              <w:rPr>
                <w:sz w:val="20"/>
                <w:szCs w:val="20"/>
              </w:rPr>
              <w:t>Sketch books and class work  to be assessed</w:t>
            </w:r>
          </w:p>
        </w:tc>
        <w:tc>
          <w:tcPr>
            <w:tcW w:w="2572" w:type="dxa"/>
            <w:vAlign w:val="center"/>
          </w:tcPr>
          <w:p w:rsidR="009D6BCF" w:rsidRDefault="009D6BCF" w:rsidP="009D6BCF">
            <w:pPr>
              <w:spacing w:after="0"/>
              <w:jc w:val="center"/>
            </w:pPr>
            <w:r w:rsidRPr="008F586D">
              <w:rPr>
                <w:sz w:val="20"/>
                <w:szCs w:val="20"/>
              </w:rPr>
              <w:t>Lead Teacher</w:t>
            </w:r>
          </w:p>
        </w:tc>
        <w:tc>
          <w:tcPr>
            <w:tcW w:w="2535" w:type="dxa"/>
            <w:vAlign w:val="center"/>
          </w:tcPr>
          <w:p w:rsidR="009D6BCF" w:rsidRPr="00B05A0B" w:rsidRDefault="009D6BCF" w:rsidP="009D6BCF">
            <w:pPr>
              <w:spacing w:after="0"/>
              <w:jc w:val="center"/>
              <w:rPr>
                <w:sz w:val="20"/>
                <w:szCs w:val="20"/>
              </w:rPr>
            </w:pPr>
            <w:r w:rsidRPr="00B05A0B">
              <w:rPr>
                <w:b/>
                <w:color w:val="2F5496" w:themeColor="accent5" w:themeShade="BF"/>
                <w:sz w:val="20"/>
                <w:szCs w:val="20"/>
              </w:rPr>
              <w:t>04/05/20</w:t>
            </w:r>
          </w:p>
        </w:tc>
      </w:tr>
    </w:tbl>
    <w:p w:rsidR="00D07038" w:rsidRPr="00BA2F2C" w:rsidRDefault="00D07038" w:rsidP="00134A74">
      <w:pPr>
        <w:rPr>
          <w:sz w:val="24"/>
          <w:szCs w:val="24"/>
        </w:rPr>
      </w:pPr>
    </w:p>
    <w:p w:rsidR="008A239A" w:rsidRDefault="008A239A" w:rsidP="00AF1DD0">
      <w:pPr>
        <w:rPr>
          <w:b/>
          <w:caps/>
          <w:sz w:val="24"/>
          <w:szCs w:val="24"/>
          <w:highlight w:val="yellow"/>
          <w:u w:val="single"/>
        </w:rPr>
      </w:pPr>
    </w:p>
    <w:p w:rsidR="008A239A" w:rsidRDefault="008A239A" w:rsidP="00AF1DD0">
      <w:pPr>
        <w:rPr>
          <w:b/>
          <w:caps/>
          <w:sz w:val="24"/>
          <w:szCs w:val="24"/>
          <w:highlight w:val="yellow"/>
          <w:u w:val="single"/>
        </w:rPr>
      </w:pPr>
    </w:p>
    <w:p w:rsidR="008A239A" w:rsidRDefault="008A239A" w:rsidP="00AF1DD0">
      <w:pPr>
        <w:rPr>
          <w:b/>
          <w:caps/>
          <w:sz w:val="24"/>
          <w:szCs w:val="24"/>
          <w:highlight w:val="yellow"/>
          <w:u w:val="single"/>
        </w:rPr>
      </w:pPr>
    </w:p>
    <w:p w:rsidR="00A60B8D" w:rsidRPr="00AF1DD0" w:rsidRDefault="00A60B8D" w:rsidP="00AF1DD0">
      <w:pPr>
        <w:rPr>
          <w:b/>
          <w:caps/>
          <w:sz w:val="24"/>
          <w:szCs w:val="24"/>
          <w:u w:val="single"/>
        </w:rPr>
      </w:pPr>
      <w:r w:rsidRPr="009A5F33">
        <w:rPr>
          <w:b/>
          <w:caps/>
          <w:sz w:val="24"/>
          <w:szCs w:val="24"/>
          <w:highlight w:val="yellow"/>
          <w:u w:val="single"/>
        </w:rPr>
        <w:lastRenderedPageBreak/>
        <w:t>Predicted Grades</w:t>
      </w:r>
    </w:p>
    <w:p w:rsidR="00A60B8D" w:rsidRPr="00E732AF" w:rsidRDefault="00E732AF" w:rsidP="00E732AF">
      <w:pPr>
        <w:rPr>
          <w:sz w:val="24"/>
          <w:szCs w:val="24"/>
        </w:rPr>
      </w:pPr>
      <w:r w:rsidRPr="00E732AF">
        <w:rPr>
          <w:sz w:val="24"/>
          <w:szCs w:val="24"/>
        </w:rPr>
        <w:t xml:space="preserve">The predicted grade for </w:t>
      </w:r>
      <w:r w:rsidR="00695296" w:rsidRPr="00E732AF">
        <w:rPr>
          <w:sz w:val="24"/>
          <w:szCs w:val="24"/>
        </w:rPr>
        <w:t>A-l</w:t>
      </w:r>
      <w:r w:rsidR="00A60B8D" w:rsidRPr="00E732AF">
        <w:rPr>
          <w:sz w:val="24"/>
          <w:szCs w:val="24"/>
        </w:rPr>
        <w:t xml:space="preserve">evel students moving from their first to their second year, will be based on </w:t>
      </w:r>
      <w:r w:rsidRPr="00E732AF">
        <w:rPr>
          <w:sz w:val="24"/>
          <w:szCs w:val="24"/>
        </w:rPr>
        <w:t>the combined results of their benchmark assessments, their attitude to learning throughout the first year, and their propensity to learn (i.e. their ability to develop and improve based on the evidence of the first year)</w:t>
      </w:r>
    </w:p>
    <w:p w:rsidR="00E732AF" w:rsidRDefault="00E732AF" w:rsidP="002D3E4D">
      <w:pPr>
        <w:rPr>
          <w:sz w:val="24"/>
          <w:szCs w:val="24"/>
        </w:rPr>
      </w:pPr>
      <w:r>
        <w:rPr>
          <w:sz w:val="24"/>
          <w:szCs w:val="24"/>
        </w:rPr>
        <w:t xml:space="preserve">Students will receive an ‘Annual Review Grade’ (ARG) at the end of their first year, which will automatically form the predicted grade. The ARG will communicated to the student via a 1-1 with the student in the summer term of Year 1. </w:t>
      </w:r>
    </w:p>
    <w:p w:rsidR="00695863" w:rsidRPr="002D3E4D" w:rsidRDefault="002D3E4D" w:rsidP="002D3E4D">
      <w:pPr>
        <w:rPr>
          <w:b/>
          <w:sz w:val="24"/>
          <w:szCs w:val="24"/>
          <w:u w:val="single"/>
        </w:rPr>
      </w:pPr>
      <w:r>
        <w:rPr>
          <w:sz w:val="24"/>
          <w:szCs w:val="24"/>
        </w:rPr>
        <w:t xml:space="preserve">It is essential that </w:t>
      </w:r>
      <w:r w:rsidR="00E732AF">
        <w:rPr>
          <w:sz w:val="24"/>
          <w:szCs w:val="24"/>
        </w:rPr>
        <w:t>predicted</w:t>
      </w:r>
      <w:r>
        <w:rPr>
          <w:sz w:val="24"/>
          <w:szCs w:val="24"/>
        </w:rPr>
        <w:t xml:space="preserve"> grades are accurate reflections of a student’s performance and are based on the evidence of achieved results. It is the college’s policy that a predicted grade can only be one level higher than an ARG.</w:t>
      </w:r>
    </w:p>
    <w:p w:rsidR="003544EA" w:rsidRDefault="003544EA" w:rsidP="00134A74">
      <w:pPr>
        <w:rPr>
          <w:b/>
          <w:caps/>
          <w:sz w:val="24"/>
          <w:szCs w:val="24"/>
          <w:highlight w:val="yellow"/>
          <w:u w:val="single"/>
        </w:rPr>
      </w:pPr>
    </w:p>
    <w:p w:rsidR="00695863" w:rsidRPr="009A5F33" w:rsidRDefault="00695863" w:rsidP="00134A74">
      <w:pPr>
        <w:rPr>
          <w:b/>
          <w:caps/>
          <w:sz w:val="24"/>
          <w:szCs w:val="24"/>
          <w:u w:val="single"/>
        </w:rPr>
      </w:pPr>
      <w:r w:rsidRPr="009A5F33">
        <w:rPr>
          <w:b/>
          <w:caps/>
          <w:sz w:val="24"/>
          <w:szCs w:val="24"/>
          <w:highlight w:val="yellow"/>
          <w:u w:val="single"/>
        </w:rPr>
        <w:t>Mock Exams</w:t>
      </w:r>
      <w:r w:rsidRPr="009A5F33">
        <w:rPr>
          <w:b/>
          <w:caps/>
          <w:sz w:val="24"/>
          <w:szCs w:val="24"/>
          <w:u w:val="single"/>
        </w:rPr>
        <w:t xml:space="preserve"> </w:t>
      </w:r>
    </w:p>
    <w:p w:rsidR="00676252" w:rsidRDefault="00BA2F2C" w:rsidP="00134A74">
      <w:pPr>
        <w:rPr>
          <w:sz w:val="24"/>
          <w:szCs w:val="24"/>
        </w:rPr>
      </w:pPr>
      <w:r>
        <w:rPr>
          <w:sz w:val="24"/>
          <w:szCs w:val="24"/>
        </w:rPr>
        <w:t xml:space="preserve">Art and Design students will sit mock exams before or immediately after the Christmas holiday in their second year. These are designed to help students prepare for the externally-set assignment (Component 2) by giving them an experience of working under exam conditions. </w:t>
      </w:r>
      <w:r w:rsidR="00C90A2B">
        <w:rPr>
          <w:sz w:val="24"/>
          <w:szCs w:val="24"/>
        </w:rPr>
        <w:t>Each of the five courses will structure their mocks differently. Some will use existing lesson time whilst others will organise mocks as ‘trips’ to take students off timetable. It is essential for students to have this experience to prepare for the demands of their final C2 assessment</w:t>
      </w:r>
    </w:p>
    <w:p w:rsidR="00BA2F2C" w:rsidRPr="009A5F33" w:rsidRDefault="00BA2F2C" w:rsidP="00134A74">
      <w:pPr>
        <w:rPr>
          <w:sz w:val="24"/>
          <w:szCs w:val="24"/>
        </w:rPr>
      </w:pPr>
      <w:r>
        <w:rPr>
          <w:sz w:val="24"/>
          <w:szCs w:val="24"/>
        </w:rPr>
        <w:t xml:space="preserve">Students will be given </w:t>
      </w:r>
      <w:r w:rsidR="00C90A2B">
        <w:rPr>
          <w:sz w:val="24"/>
          <w:szCs w:val="24"/>
        </w:rPr>
        <w:t>developed</w:t>
      </w:r>
      <w:r>
        <w:rPr>
          <w:sz w:val="24"/>
          <w:szCs w:val="24"/>
        </w:rPr>
        <w:t xml:space="preserve"> feedback on their mock exams </w:t>
      </w:r>
      <w:r w:rsidR="00C45386">
        <w:rPr>
          <w:sz w:val="24"/>
          <w:szCs w:val="24"/>
        </w:rPr>
        <w:t xml:space="preserve">but this is not a prediction of their final outcome. </w:t>
      </w:r>
    </w:p>
    <w:p w:rsidR="003544EA" w:rsidRDefault="003544EA" w:rsidP="007E3DF0">
      <w:pPr>
        <w:rPr>
          <w:b/>
          <w:caps/>
          <w:sz w:val="24"/>
          <w:szCs w:val="24"/>
          <w:highlight w:val="yellow"/>
          <w:u w:val="single"/>
        </w:rPr>
      </w:pPr>
    </w:p>
    <w:p w:rsidR="007E3DF0" w:rsidRPr="009A5F33" w:rsidRDefault="00BE39AD" w:rsidP="006E418A">
      <w:pPr>
        <w:rPr>
          <w:b/>
          <w:caps/>
          <w:sz w:val="24"/>
          <w:szCs w:val="24"/>
          <w:u w:val="single"/>
        </w:rPr>
      </w:pPr>
      <w:r>
        <w:rPr>
          <w:b/>
          <w:caps/>
          <w:sz w:val="24"/>
          <w:szCs w:val="24"/>
          <w:highlight w:val="yellow"/>
          <w:u w:val="single"/>
        </w:rPr>
        <w:t>Non-Examined Assessment/</w:t>
      </w:r>
      <w:r w:rsidR="007E3DF0" w:rsidRPr="007E3DF0">
        <w:rPr>
          <w:b/>
          <w:caps/>
          <w:sz w:val="24"/>
          <w:szCs w:val="24"/>
          <w:highlight w:val="yellow"/>
          <w:u w:val="single"/>
        </w:rPr>
        <w:t>Coursework</w:t>
      </w:r>
    </w:p>
    <w:p w:rsidR="00BE39AD" w:rsidRDefault="00E732AF" w:rsidP="006E418A">
      <w:pPr>
        <w:rPr>
          <w:sz w:val="24"/>
        </w:rPr>
      </w:pPr>
      <w:r>
        <w:rPr>
          <w:sz w:val="24"/>
        </w:rPr>
        <w:t xml:space="preserve">Art and Design students need to be aware of the procedures outlined below as these are the standards which are applied to ensure that their work is assessed rigorously and consistently. </w:t>
      </w:r>
    </w:p>
    <w:p w:rsidR="00BE39AD" w:rsidRDefault="00BE39AD" w:rsidP="006E418A">
      <w:pPr>
        <w:rPr>
          <w:sz w:val="24"/>
        </w:rPr>
      </w:pPr>
      <w:r>
        <w:rPr>
          <w:sz w:val="24"/>
        </w:rPr>
        <w:t xml:space="preserve">Both the Personal Investigation and the Externally-Set Assignment are completed by students internally and are marked by members of the department. Great care is taken to </w:t>
      </w:r>
      <w:r>
        <w:rPr>
          <w:b/>
          <w:sz w:val="24"/>
        </w:rPr>
        <w:t xml:space="preserve">standardise </w:t>
      </w:r>
      <w:r>
        <w:rPr>
          <w:sz w:val="24"/>
        </w:rPr>
        <w:t xml:space="preserve">marking to ensure that all teachers are marking </w:t>
      </w:r>
      <w:r w:rsidR="00DB0DF4">
        <w:rPr>
          <w:sz w:val="24"/>
        </w:rPr>
        <w:t>consistently</w:t>
      </w:r>
      <w:r>
        <w:rPr>
          <w:sz w:val="24"/>
        </w:rPr>
        <w:t xml:space="preserve">. Work is also </w:t>
      </w:r>
      <w:r w:rsidRPr="00BE39AD">
        <w:rPr>
          <w:b/>
          <w:sz w:val="24"/>
        </w:rPr>
        <w:t>internally moderated</w:t>
      </w:r>
      <w:r>
        <w:rPr>
          <w:b/>
          <w:sz w:val="24"/>
        </w:rPr>
        <w:t xml:space="preserve"> </w:t>
      </w:r>
      <w:r>
        <w:rPr>
          <w:sz w:val="24"/>
        </w:rPr>
        <w:t xml:space="preserve">to check the awarding of marks. Finally student work is then </w:t>
      </w:r>
      <w:r>
        <w:rPr>
          <w:b/>
          <w:sz w:val="24"/>
        </w:rPr>
        <w:t>externally moderated</w:t>
      </w:r>
      <w:r w:rsidR="00DB0DF4">
        <w:rPr>
          <w:sz w:val="24"/>
        </w:rPr>
        <w:t xml:space="preserve"> by the exam board. </w:t>
      </w:r>
    </w:p>
    <w:p w:rsidR="00DB0DF4" w:rsidRPr="00BE39AD" w:rsidRDefault="00DB0DF4" w:rsidP="006E418A">
      <w:pPr>
        <w:rPr>
          <w:sz w:val="24"/>
        </w:rPr>
      </w:pPr>
      <w:r>
        <w:rPr>
          <w:sz w:val="24"/>
        </w:rPr>
        <w:t>Before submitting the final internal marks to AQA students will be informed of their pro</w:t>
      </w:r>
      <w:r w:rsidR="007A24F4">
        <w:rPr>
          <w:sz w:val="24"/>
        </w:rPr>
        <w:t xml:space="preserve">visional mark in each component (marks will made available on </w:t>
      </w:r>
      <w:proofErr w:type="spellStart"/>
      <w:r w:rsidR="007A24F4">
        <w:rPr>
          <w:sz w:val="24"/>
        </w:rPr>
        <w:t>Markbook</w:t>
      </w:r>
      <w:proofErr w:type="spellEnd"/>
      <w:r w:rsidR="007A24F4">
        <w:rPr>
          <w:sz w:val="24"/>
        </w:rPr>
        <w:t>).</w:t>
      </w:r>
    </w:p>
    <w:p w:rsidR="00E732AF" w:rsidRPr="00DB0DF4" w:rsidRDefault="00E732AF" w:rsidP="006E418A">
      <w:pPr>
        <w:rPr>
          <w:sz w:val="24"/>
        </w:rPr>
      </w:pPr>
      <w:r>
        <w:rPr>
          <w:sz w:val="24"/>
        </w:rPr>
        <w:t>Students have the right to appeal the p</w:t>
      </w:r>
      <w:r w:rsidR="00DD298E">
        <w:rPr>
          <w:sz w:val="24"/>
        </w:rPr>
        <w:t>rocess by which their non-examined assessment</w:t>
      </w:r>
      <w:r>
        <w:rPr>
          <w:sz w:val="24"/>
        </w:rPr>
        <w:t xml:space="preserve"> has been internally </w:t>
      </w:r>
      <w:r w:rsidR="00DD298E">
        <w:rPr>
          <w:sz w:val="24"/>
        </w:rPr>
        <w:t>marked</w:t>
      </w:r>
      <w:r>
        <w:rPr>
          <w:sz w:val="24"/>
        </w:rPr>
        <w:t xml:space="preserve"> once they have received their provisional mark. Please note that students are not able to contest their </w:t>
      </w:r>
      <w:r>
        <w:rPr>
          <w:i/>
          <w:sz w:val="24"/>
        </w:rPr>
        <w:t>mark</w:t>
      </w:r>
      <w:r>
        <w:rPr>
          <w:sz w:val="24"/>
        </w:rPr>
        <w:t xml:space="preserve">, only the </w:t>
      </w:r>
      <w:r>
        <w:rPr>
          <w:i/>
          <w:sz w:val="24"/>
        </w:rPr>
        <w:t>process</w:t>
      </w:r>
      <w:r>
        <w:rPr>
          <w:sz w:val="24"/>
        </w:rPr>
        <w:t xml:space="preserve"> by wh</w:t>
      </w:r>
      <w:r w:rsidR="00DB0DF4">
        <w:rPr>
          <w:sz w:val="24"/>
        </w:rPr>
        <w:t>ich their work has been marked.</w:t>
      </w:r>
    </w:p>
    <w:p w:rsidR="00E732AF" w:rsidRDefault="00E732AF" w:rsidP="006E418A">
      <w:pPr>
        <w:rPr>
          <w:b/>
          <w:sz w:val="24"/>
          <w:u w:val="single"/>
        </w:rPr>
      </w:pPr>
    </w:p>
    <w:p w:rsidR="00E732AF" w:rsidRDefault="00E732AF" w:rsidP="006E418A">
      <w:pPr>
        <w:rPr>
          <w:b/>
          <w:sz w:val="24"/>
        </w:rPr>
      </w:pPr>
    </w:p>
    <w:tbl>
      <w:tblPr>
        <w:tblStyle w:val="TableGrid"/>
        <w:tblW w:w="0" w:type="auto"/>
        <w:tblLook w:val="04A0" w:firstRow="1" w:lastRow="0" w:firstColumn="1" w:lastColumn="0" w:noHBand="0" w:noVBand="1"/>
      </w:tblPr>
      <w:tblGrid>
        <w:gridCol w:w="3539"/>
        <w:gridCol w:w="1689"/>
        <w:gridCol w:w="3698"/>
        <w:gridCol w:w="1530"/>
      </w:tblGrid>
      <w:tr w:rsidR="00C45386" w:rsidTr="00DD298E">
        <w:tc>
          <w:tcPr>
            <w:tcW w:w="5228" w:type="dxa"/>
            <w:gridSpan w:val="2"/>
            <w:shd w:val="clear" w:color="auto" w:fill="FFC000"/>
            <w:vAlign w:val="center"/>
          </w:tcPr>
          <w:p w:rsidR="00C45386" w:rsidRDefault="00C45386" w:rsidP="00C45386">
            <w:pPr>
              <w:spacing w:after="0"/>
              <w:jc w:val="center"/>
              <w:rPr>
                <w:b/>
                <w:sz w:val="24"/>
              </w:rPr>
            </w:pPr>
            <w:bookmarkStart w:id="0" w:name="_GoBack" w:colFirst="1" w:colLast="1"/>
            <w:r>
              <w:rPr>
                <w:b/>
                <w:sz w:val="24"/>
              </w:rPr>
              <w:t>Component 1 – Personal Investigation (60%)</w:t>
            </w:r>
          </w:p>
        </w:tc>
        <w:tc>
          <w:tcPr>
            <w:tcW w:w="5228" w:type="dxa"/>
            <w:gridSpan w:val="2"/>
            <w:shd w:val="clear" w:color="auto" w:fill="FFC000"/>
            <w:vAlign w:val="center"/>
          </w:tcPr>
          <w:p w:rsidR="00C45386" w:rsidRDefault="00C45386" w:rsidP="00C45386">
            <w:pPr>
              <w:spacing w:after="0"/>
              <w:jc w:val="center"/>
              <w:rPr>
                <w:b/>
                <w:sz w:val="24"/>
              </w:rPr>
            </w:pPr>
            <w:r>
              <w:rPr>
                <w:b/>
                <w:sz w:val="24"/>
              </w:rPr>
              <w:t>Component 2 – Externally-set assignment (40%)</w:t>
            </w:r>
          </w:p>
        </w:tc>
      </w:tr>
      <w:tr w:rsidR="00C45386" w:rsidTr="00DD298E">
        <w:tc>
          <w:tcPr>
            <w:tcW w:w="3539" w:type="dxa"/>
            <w:shd w:val="clear" w:color="auto" w:fill="DEEAF6" w:themeFill="accent1" w:themeFillTint="33"/>
            <w:vAlign w:val="center"/>
          </w:tcPr>
          <w:p w:rsidR="00C45386" w:rsidRPr="00C45386" w:rsidRDefault="00C45386" w:rsidP="00C45386">
            <w:pPr>
              <w:spacing w:after="0"/>
              <w:jc w:val="center"/>
              <w:rPr>
                <w:b/>
                <w:i/>
                <w:sz w:val="24"/>
              </w:rPr>
            </w:pPr>
            <w:r w:rsidRPr="00C45386">
              <w:rPr>
                <w:b/>
                <w:i/>
                <w:sz w:val="24"/>
              </w:rPr>
              <w:t>Stage</w:t>
            </w:r>
          </w:p>
        </w:tc>
        <w:tc>
          <w:tcPr>
            <w:tcW w:w="1689" w:type="dxa"/>
            <w:shd w:val="clear" w:color="auto" w:fill="DEEAF6" w:themeFill="accent1" w:themeFillTint="33"/>
            <w:vAlign w:val="center"/>
          </w:tcPr>
          <w:p w:rsidR="00C45386" w:rsidRPr="00C45386" w:rsidRDefault="00C45386" w:rsidP="00C45386">
            <w:pPr>
              <w:spacing w:after="0"/>
              <w:jc w:val="center"/>
              <w:rPr>
                <w:b/>
                <w:i/>
                <w:sz w:val="24"/>
              </w:rPr>
            </w:pPr>
            <w:r w:rsidRPr="00C45386">
              <w:rPr>
                <w:b/>
                <w:i/>
                <w:sz w:val="24"/>
              </w:rPr>
              <w:t>Date</w:t>
            </w:r>
          </w:p>
        </w:tc>
        <w:tc>
          <w:tcPr>
            <w:tcW w:w="3698" w:type="dxa"/>
            <w:shd w:val="clear" w:color="auto" w:fill="DEEAF6" w:themeFill="accent1" w:themeFillTint="33"/>
            <w:vAlign w:val="center"/>
          </w:tcPr>
          <w:p w:rsidR="00C45386" w:rsidRPr="00C45386" w:rsidRDefault="00C45386" w:rsidP="00C45386">
            <w:pPr>
              <w:spacing w:after="0"/>
              <w:jc w:val="center"/>
              <w:rPr>
                <w:b/>
                <w:i/>
                <w:sz w:val="24"/>
              </w:rPr>
            </w:pPr>
            <w:r w:rsidRPr="00C45386">
              <w:rPr>
                <w:b/>
                <w:i/>
                <w:sz w:val="24"/>
              </w:rPr>
              <w:t>Stage</w:t>
            </w:r>
          </w:p>
        </w:tc>
        <w:tc>
          <w:tcPr>
            <w:tcW w:w="1530" w:type="dxa"/>
            <w:shd w:val="clear" w:color="auto" w:fill="DEEAF6" w:themeFill="accent1" w:themeFillTint="33"/>
            <w:vAlign w:val="center"/>
          </w:tcPr>
          <w:p w:rsidR="00C45386" w:rsidRPr="00C45386" w:rsidRDefault="00C45386" w:rsidP="00C45386">
            <w:pPr>
              <w:spacing w:after="0"/>
              <w:jc w:val="center"/>
              <w:rPr>
                <w:b/>
                <w:i/>
                <w:sz w:val="24"/>
              </w:rPr>
            </w:pPr>
            <w:r w:rsidRPr="00C45386">
              <w:rPr>
                <w:b/>
                <w:i/>
                <w:sz w:val="24"/>
              </w:rPr>
              <w:t>Date</w:t>
            </w:r>
          </w:p>
        </w:tc>
      </w:tr>
      <w:tr w:rsidR="00205DE2" w:rsidTr="009D6BCF">
        <w:tc>
          <w:tcPr>
            <w:tcW w:w="3539" w:type="dxa"/>
            <w:vAlign w:val="center"/>
          </w:tcPr>
          <w:p w:rsidR="00205DE2" w:rsidRDefault="00C90A2B" w:rsidP="009D6BCF">
            <w:pPr>
              <w:spacing w:after="0"/>
              <w:rPr>
                <w:b/>
                <w:sz w:val="24"/>
              </w:rPr>
            </w:pPr>
            <w:r>
              <w:rPr>
                <w:b/>
                <w:sz w:val="24"/>
              </w:rPr>
              <w:t>First Submission</w:t>
            </w:r>
          </w:p>
        </w:tc>
        <w:tc>
          <w:tcPr>
            <w:tcW w:w="1689" w:type="dxa"/>
            <w:vAlign w:val="center"/>
          </w:tcPr>
          <w:p w:rsidR="00205DE2" w:rsidRDefault="00C90A2B" w:rsidP="00205DE2">
            <w:pPr>
              <w:spacing w:after="0"/>
              <w:jc w:val="center"/>
              <w:rPr>
                <w:b/>
                <w:sz w:val="24"/>
              </w:rPr>
            </w:pPr>
            <w:r>
              <w:rPr>
                <w:b/>
                <w:sz w:val="24"/>
              </w:rPr>
              <w:t>End of January</w:t>
            </w:r>
          </w:p>
        </w:tc>
        <w:tc>
          <w:tcPr>
            <w:tcW w:w="3698" w:type="dxa"/>
            <w:vAlign w:val="center"/>
          </w:tcPr>
          <w:p w:rsidR="00205DE2" w:rsidRDefault="009D6BCF" w:rsidP="009D6BCF">
            <w:pPr>
              <w:spacing w:after="0"/>
              <w:rPr>
                <w:b/>
                <w:sz w:val="24"/>
              </w:rPr>
            </w:pPr>
            <w:r>
              <w:rPr>
                <w:b/>
                <w:sz w:val="24"/>
              </w:rPr>
              <w:t>Draft Deadline</w:t>
            </w:r>
          </w:p>
        </w:tc>
        <w:tc>
          <w:tcPr>
            <w:tcW w:w="1530" w:type="dxa"/>
            <w:vAlign w:val="center"/>
          </w:tcPr>
          <w:p w:rsidR="00205DE2" w:rsidRDefault="00014270" w:rsidP="00205DE2">
            <w:pPr>
              <w:spacing w:after="0"/>
              <w:jc w:val="center"/>
              <w:rPr>
                <w:b/>
                <w:sz w:val="24"/>
              </w:rPr>
            </w:pPr>
            <w:r>
              <w:rPr>
                <w:b/>
                <w:sz w:val="24"/>
              </w:rPr>
              <w:t>NA</w:t>
            </w:r>
          </w:p>
        </w:tc>
      </w:tr>
      <w:tr w:rsidR="00205DE2" w:rsidTr="009D6BCF">
        <w:tc>
          <w:tcPr>
            <w:tcW w:w="3539" w:type="dxa"/>
            <w:vAlign w:val="center"/>
          </w:tcPr>
          <w:p w:rsidR="00205DE2" w:rsidRDefault="00014270" w:rsidP="009D6BCF">
            <w:pPr>
              <w:spacing w:after="0"/>
              <w:rPr>
                <w:b/>
                <w:sz w:val="24"/>
              </w:rPr>
            </w:pPr>
            <w:r>
              <w:rPr>
                <w:b/>
                <w:sz w:val="24"/>
              </w:rPr>
              <w:t>Formal Submission</w:t>
            </w:r>
          </w:p>
        </w:tc>
        <w:tc>
          <w:tcPr>
            <w:tcW w:w="1689" w:type="dxa"/>
            <w:vAlign w:val="center"/>
          </w:tcPr>
          <w:p w:rsidR="00205DE2" w:rsidRDefault="00014270" w:rsidP="00205DE2">
            <w:pPr>
              <w:spacing w:after="0"/>
              <w:jc w:val="center"/>
              <w:rPr>
                <w:b/>
                <w:sz w:val="24"/>
              </w:rPr>
            </w:pPr>
            <w:r>
              <w:rPr>
                <w:b/>
                <w:sz w:val="24"/>
              </w:rPr>
              <w:t>Start of May</w:t>
            </w:r>
            <w:r w:rsidR="009D6BCF">
              <w:rPr>
                <w:b/>
                <w:sz w:val="24"/>
              </w:rPr>
              <w:t xml:space="preserve"> or</w:t>
            </w:r>
            <w:r>
              <w:rPr>
                <w:b/>
                <w:sz w:val="24"/>
              </w:rPr>
              <w:t xml:space="preserve"> </w:t>
            </w:r>
          </w:p>
          <w:p w:rsidR="00014270" w:rsidRDefault="009D6BCF" w:rsidP="00205DE2">
            <w:pPr>
              <w:spacing w:after="0"/>
              <w:jc w:val="center"/>
              <w:rPr>
                <w:b/>
                <w:sz w:val="24"/>
              </w:rPr>
            </w:pPr>
            <w:r>
              <w:rPr>
                <w:b/>
                <w:sz w:val="24"/>
              </w:rPr>
              <w:t>End of January depending on the course</w:t>
            </w:r>
          </w:p>
        </w:tc>
        <w:tc>
          <w:tcPr>
            <w:tcW w:w="3698" w:type="dxa"/>
            <w:vAlign w:val="center"/>
          </w:tcPr>
          <w:p w:rsidR="00205DE2" w:rsidRPr="009D6BCF" w:rsidRDefault="00205DE2" w:rsidP="009D6BCF">
            <w:pPr>
              <w:spacing w:after="0"/>
              <w:rPr>
                <w:b/>
                <w:i/>
                <w:sz w:val="24"/>
              </w:rPr>
            </w:pPr>
            <w:r w:rsidRPr="009D6BCF">
              <w:rPr>
                <w:b/>
                <w:i/>
                <w:sz w:val="24"/>
              </w:rPr>
              <w:t>Final Deadline</w:t>
            </w:r>
          </w:p>
        </w:tc>
        <w:tc>
          <w:tcPr>
            <w:tcW w:w="1530" w:type="dxa"/>
            <w:vAlign w:val="center"/>
          </w:tcPr>
          <w:p w:rsidR="00205DE2" w:rsidRDefault="00014270" w:rsidP="00205DE2">
            <w:pPr>
              <w:spacing w:after="0"/>
              <w:jc w:val="center"/>
              <w:rPr>
                <w:b/>
                <w:sz w:val="24"/>
              </w:rPr>
            </w:pPr>
            <w:r>
              <w:rPr>
                <w:b/>
                <w:sz w:val="24"/>
              </w:rPr>
              <w:t>As per exam timetable (end of April)</w:t>
            </w:r>
          </w:p>
        </w:tc>
      </w:tr>
      <w:tr w:rsidR="00205DE2" w:rsidTr="00C45386">
        <w:tc>
          <w:tcPr>
            <w:tcW w:w="3539" w:type="dxa"/>
          </w:tcPr>
          <w:p w:rsidR="00205DE2" w:rsidRDefault="00205DE2" w:rsidP="00205DE2">
            <w:pPr>
              <w:spacing w:after="0"/>
              <w:rPr>
                <w:b/>
                <w:sz w:val="24"/>
              </w:rPr>
            </w:pPr>
            <w:r>
              <w:rPr>
                <w:b/>
                <w:sz w:val="24"/>
              </w:rPr>
              <w:t xml:space="preserve">Internal Moderation </w:t>
            </w:r>
          </w:p>
        </w:tc>
        <w:tc>
          <w:tcPr>
            <w:tcW w:w="1689" w:type="dxa"/>
            <w:vAlign w:val="center"/>
          </w:tcPr>
          <w:p w:rsidR="00205DE2" w:rsidRDefault="00014270" w:rsidP="00205DE2">
            <w:pPr>
              <w:spacing w:after="0"/>
              <w:jc w:val="center"/>
              <w:rPr>
                <w:b/>
                <w:sz w:val="24"/>
              </w:rPr>
            </w:pPr>
            <w:r>
              <w:rPr>
                <w:b/>
                <w:sz w:val="24"/>
              </w:rPr>
              <w:t>May</w:t>
            </w:r>
          </w:p>
        </w:tc>
        <w:tc>
          <w:tcPr>
            <w:tcW w:w="3698" w:type="dxa"/>
          </w:tcPr>
          <w:p w:rsidR="00205DE2" w:rsidRDefault="00205DE2" w:rsidP="00205DE2">
            <w:pPr>
              <w:spacing w:after="0"/>
              <w:rPr>
                <w:b/>
                <w:sz w:val="24"/>
              </w:rPr>
            </w:pPr>
            <w:r>
              <w:rPr>
                <w:b/>
                <w:sz w:val="24"/>
              </w:rPr>
              <w:t xml:space="preserve">Internal Moderation </w:t>
            </w:r>
          </w:p>
        </w:tc>
        <w:tc>
          <w:tcPr>
            <w:tcW w:w="1530" w:type="dxa"/>
            <w:vAlign w:val="center"/>
          </w:tcPr>
          <w:p w:rsidR="00205DE2" w:rsidRDefault="00014270" w:rsidP="00205DE2">
            <w:pPr>
              <w:spacing w:after="0"/>
              <w:jc w:val="center"/>
              <w:rPr>
                <w:b/>
                <w:sz w:val="24"/>
              </w:rPr>
            </w:pPr>
            <w:r>
              <w:rPr>
                <w:b/>
                <w:sz w:val="24"/>
              </w:rPr>
              <w:t>May</w:t>
            </w:r>
          </w:p>
        </w:tc>
      </w:tr>
      <w:tr w:rsidR="00205DE2" w:rsidTr="00C45386">
        <w:tc>
          <w:tcPr>
            <w:tcW w:w="3539" w:type="dxa"/>
          </w:tcPr>
          <w:p w:rsidR="00205DE2" w:rsidRDefault="00205DE2" w:rsidP="00205DE2">
            <w:pPr>
              <w:spacing w:after="0"/>
              <w:rPr>
                <w:b/>
                <w:sz w:val="24"/>
              </w:rPr>
            </w:pPr>
            <w:r>
              <w:rPr>
                <w:b/>
                <w:sz w:val="24"/>
              </w:rPr>
              <w:t xml:space="preserve">Marks Uploaded to </w:t>
            </w:r>
            <w:proofErr w:type="spellStart"/>
            <w:r>
              <w:rPr>
                <w:b/>
                <w:sz w:val="24"/>
              </w:rPr>
              <w:t>Markbook</w:t>
            </w:r>
            <w:proofErr w:type="spellEnd"/>
            <w:r>
              <w:rPr>
                <w:b/>
                <w:sz w:val="24"/>
              </w:rPr>
              <w:t xml:space="preserve"> for students to view</w:t>
            </w:r>
          </w:p>
        </w:tc>
        <w:tc>
          <w:tcPr>
            <w:tcW w:w="1689" w:type="dxa"/>
            <w:vAlign w:val="center"/>
          </w:tcPr>
          <w:p w:rsidR="00205DE2" w:rsidRDefault="009D6BCF" w:rsidP="00205DE2">
            <w:pPr>
              <w:spacing w:after="0"/>
              <w:jc w:val="center"/>
              <w:rPr>
                <w:b/>
                <w:sz w:val="24"/>
              </w:rPr>
            </w:pPr>
            <w:r>
              <w:rPr>
                <w:b/>
                <w:sz w:val="24"/>
              </w:rPr>
              <w:t>By 22</w:t>
            </w:r>
            <w:r w:rsidRPr="009D6BCF">
              <w:rPr>
                <w:b/>
                <w:sz w:val="24"/>
                <w:vertAlign w:val="superscript"/>
              </w:rPr>
              <w:t>nd</w:t>
            </w:r>
            <w:r>
              <w:rPr>
                <w:b/>
                <w:sz w:val="24"/>
              </w:rPr>
              <w:t xml:space="preserve"> May 2020</w:t>
            </w:r>
          </w:p>
        </w:tc>
        <w:tc>
          <w:tcPr>
            <w:tcW w:w="3698" w:type="dxa"/>
          </w:tcPr>
          <w:p w:rsidR="00205DE2" w:rsidRDefault="00205DE2" w:rsidP="00205DE2">
            <w:pPr>
              <w:spacing w:after="0"/>
              <w:rPr>
                <w:b/>
                <w:sz w:val="24"/>
              </w:rPr>
            </w:pPr>
            <w:r>
              <w:rPr>
                <w:b/>
                <w:sz w:val="24"/>
              </w:rPr>
              <w:t xml:space="preserve">Marks Uploaded to </w:t>
            </w:r>
            <w:proofErr w:type="spellStart"/>
            <w:r>
              <w:rPr>
                <w:b/>
                <w:sz w:val="24"/>
              </w:rPr>
              <w:t>Markbook</w:t>
            </w:r>
            <w:proofErr w:type="spellEnd"/>
            <w:r>
              <w:rPr>
                <w:b/>
                <w:sz w:val="24"/>
              </w:rPr>
              <w:t xml:space="preserve"> for students to view</w:t>
            </w:r>
          </w:p>
        </w:tc>
        <w:tc>
          <w:tcPr>
            <w:tcW w:w="1530" w:type="dxa"/>
            <w:vAlign w:val="center"/>
          </w:tcPr>
          <w:p w:rsidR="00205DE2" w:rsidRDefault="009D6BCF" w:rsidP="00205DE2">
            <w:pPr>
              <w:spacing w:after="0"/>
              <w:jc w:val="center"/>
              <w:rPr>
                <w:b/>
                <w:sz w:val="24"/>
              </w:rPr>
            </w:pPr>
            <w:r>
              <w:rPr>
                <w:b/>
                <w:sz w:val="24"/>
              </w:rPr>
              <w:t>By 22</w:t>
            </w:r>
            <w:r w:rsidRPr="009D6BCF">
              <w:rPr>
                <w:b/>
                <w:sz w:val="24"/>
                <w:vertAlign w:val="superscript"/>
              </w:rPr>
              <w:t>nd</w:t>
            </w:r>
            <w:r>
              <w:rPr>
                <w:b/>
                <w:sz w:val="24"/>
              </w:rPr>
              <w:t xml:space="preserve"> May 2020</w:t>
            </w:r>
          </w:p>
        </w:tc>
      </w:tr>
      <w:tr w:rsidR="00205DE2" w:rsidTr="00C45386">
        <w:tc>
          <w:tcPr>
            <w:tcW w:w="3539" w:type="dxa"/>
          </w:tcPr>
          <w:p w:rsidR="00205DE2" w:rsidRDefault="00205DE2" w:rsidP="00205DE2">
            <w:pPr>
              <w:spacing w:after="0"/>
              <w:rPr>
                <w:b/>
                <w:sz w:val="24"/>
              </w:rPr>
            </w:pPr>
            <w:r>
              <w:rPr>
                <w:b/>
                <w:sz w:val="24"/>
              </w:rPr>
              <w:t>Marks sent to AQA for external Moderation</w:t>
            </w:r>
          </w:p>
        </w:tc>
        <w:tc>
          <w:tcPr>
            <w:tcW w:w="1689" w:type="dxa"/>
            <w:vAlign w:val="center"/>
          </w:tcPr>
          <w:p w:rsidR="00205DE2" w:rsidRDefault="00C3313C" w:rsidP="00205DE2">
            <w:pPr>
              <w:spacing w:after="0"/>
              <w:jc w:val="center"/>
              <w:rPr>
                <w:b/>
                <w:sz w:val="24"/>
              </w:rPr>
            </w:pPr>
            <w:r>
              <w:rPr>
                <w:b/>
                <w:sz w:val="24"/>
              </w:rPr>
              <w:t>By 31</w:t>
            </w:r>
            <w:r>
              <w:rPr>
                <w:b/>
                <w:sz w:val="24"/>
                <w:vertAlign w:val="superscript"/>
              </w:rPr>
              <w:t>st</w:t>
            </w:r>
            <w:r w:rsidR="00205DE2">
              <w:rPr>
                <w:b/>
                <w:sz w:val="24"/>
              </w:rPr>
              <w:t xml:space="preserve"> May 2020</w:t>
            </w:r>
          </w:p>
        </w:tc>
        <w:tc>
          <w:tcPr>
            <w:tcW w:w="3698" w:type="dxa"/>
          </w:tcPr>
          <w:p w:rsidR="00205DE2" w:rsidRDefault="00205DE2" w:rsidP="00205DE2">
            <w:pPr>
              <w:spacing w:after="0"/>
              <w:rPr>
                <w:b/>
                <w:sz w:val="24"/>
              </w:rPr>
            </w:pPr>
            <w:r>
              <w:rPr>
                <w:b/>
                <w:sz w:val="24"/>
              </w:rPr>
              <w:t>Marks sent to AQA for external Moderation</w:t>
            </w:r>
          </w:p>
        </w:tc>
        <w:tc>
          <w:tcPr>
            <w:tcW w:w="1530" w:type="dxa"/>
            <w:vAlign w:val="center"/>
          </w:tcPr>
          <w:p w:rsidR="00205DE2" w:rsidRDefault="00C3313C" w:rsidP="00205DE2">
            <w:pPr>
              <w:spacing w:after="0"/>
              <w:jc w:val="center"/>
              <w:rPr>
                <w:b/>
                <w:sz w:val="24"/>
              </w:rPr>
            </w:pPr>
            <w:r>
              <w:rPr>
                <w:b/>
                <w:sz w:val="24"/>
              </w:rPr>
              <w:t>By 31</w:t>
            </w:r>
            <w:r>
              <w:rPr>
                <w:b/>
                <w:sz w:val="24"/>
                <w:vertAlign w:val="superscript"/>
              </w:rPr>
              <w:t>st</w:t>
            </w:r>
            <w:r>
              <w:rPr>
                <w:b/>
                <w:sz w:val="24"/>
              </w:rPr>
              <w:t xml:space="preserve"> May 2020</w:t>
            </w:r>
          </w:p>
        </w:tc>
      </w:tr>
      <w:tr w:rsidR="00C45386" w:rsidTr="00C45386">
        <w:tc>
          <w:tcPr>
            <w:tcW w:w="3539" w:type="dxa"/>
            <w:vAlign w:val="center"/>
          </w:tcPr>
          <w:p w:rsidR="00C45386" w:rsidRDefault="00C45386" w:rsidP="00C45386">
            <w:pPr>
              <w:spacing w:after="0"/>
              <w:rPr>
                <w:b/>
                <w:sz w:val="24"/>
              </w:rPr>
            </w:pPr>
            <w:r>
              <w:rPr>
                <w:b/>
                <w:sz w:val="24"/>
              </w:rPr>
              <w:t xml:space="preserve">Final Result Awarded </w:t>
            </w:r>
          </w:p>
        </w:tc>
        <w:tc>
          <w:tcPr>
            <w:tcW w:w="1689" w:type="dxa"/>
            <w:vAlign w:val="center"/>
          </w:tcPr>
          <w:p w:rsidR="00C45386" w:rsidRDefault="00205DE2" w:rsidP="00C45386">
            <w:pPr>
              <w:spacing w:after="0"/>
              <w:jc w:val="center"/>
              <w:rPr>
                <w:b/>
                <w:sz w:val="24"/>
              </w:rPr>
            </w:pPr>
            <w:r>
              <w:rPr>
                <w:b/>
                <w:sz w:val="24"/>
              </w:rPr>
              <w:t>13</w:t>
            </w:r>
            <w:r w:rsidR="00C45386" w:rsidRPr="00C45386">
              <w:rPr>
                <w:b/>
                <w:sz w:val="24"/>
                <w:vertAlign w:val="superscript"/>
              </w:rPr>
              <w:t>th</w:t>
            </w:r>
            <w:r w:rsidR="00C45386">
              <w:rPr>
                <w:b/>
                <w:sz w:val="24"/>
              </w:rPr>
              <w:t xml:space="preserve"> August 2020</w:t>
            </w:r>
          </w:p>
        </w:tc>
        <w:tc>
          <w:tcPr>
            <w:tcW w:w="3698" w:type="dxa"/>
            <w:vAlign w:val="center"/>
          </w:tcPr>
          <w:p w:rsidR="00C45386" w:rsidRDefault="00C45386" w:rsidP="00C45386">
            <w:pPr>
              <w:spacing w:after="0"/>
              <w:rPr>
                <w:b/>
                <w:sz w:val="24"/>
              </w:rPr>
            </w:pPr>
            <w:r>
              <w:rPr>
                <w:b/>
                <w:sz w:val="24"/>
              </w:rPr>
              <w:t xml:space="preserve">Final Result Awarded </w:t>
            </w:r>
          </w:p>
        </w:tc>
        <w:tc>
          <w:tcPr>
            <w:tcW w:w="1530" w:type="dxa"/>
            <w:vAlign w:val="center"/>
          </w:tcPr>
          <w:p w:rsidR="00C45386" w:rsidRDefault="00205DE2" w:rsidP="00C45386">
            <w:pPr>
              <w:spacing w:after="0"/>
              <w:jc w:val="center"/>
              <w:rPr>
                <w:b/>
                <w:sz w:val="24"/>
              </w:rPr>
            </w:pPr>
            <w:r>
              <w:rPr>
                <w:b/>
                <w:sz w:val="24"/>
              </w:rPr>
              <w:t>13</w:t>
            </w:r>
            <w:r w:rsidR="00C45386" w:rsidRPr="00C45386">
              <w:rPr>
                <w:b/>
                <w:sz w:val="24"/>
                <w:vertAlign w:val="superscript"/>
              </w:rPr>
              <w:t>th</w:t>
            </w:r>
            <w:r w:rsidR="00C45386">
              <w:rPr>
                <w:b/>
                <w:sz w:val="24"/>
              </w:rPr>
              <w:t xml:space="preserve"> August 2020</w:t>
            </w:r>
          </w:p>
        </w:tc>
      </w:tr>
      <w:bookmarkEnd w:id="0"/>
    </w:tbl>
    <w:p w:rsidR="00C45386" w:rsidRDefault="00C45386" w:rsidP="006E418A">
      <w:pPr>
        <w:rPr>
          <w:b/>
          <w:sz w:val="24"/>
        </w:rPr>
      </w:pPr>
    </w:p>
    <w:p w:rsidR="00E732AF" w:rsidRDefault="00E732AF" w:rsidP="006E418A">
      <w:pPr>
        <w:rPr>
          <w:b/>
          <w:sz w:val="24"/>
        </w:rPr>
      </w:pPr>
    </w:p>
    <w:p w:rsidR="00E732AF" w:rsidRDefault="00E732AF" w:rsidP="006E418A">
      <w:pPr>
        <w:rPr>
          <w:b/>
          <w:sz w:val="24"/>
          <w:szCs w:val="24"/>
        </w:rPr>
      </w:pPr>
      <w:r>
        <w:rPr>
          <w:b/>
          <w:sz w:val="24"/>
          <w:szCs w:val="24"/>
          <w:u w:val="single"/>
        </w:rPr>
        <w:t xml:space="preserve">Plagiarism and Malpractice </w:t>
      </w:r>
    </w:p>
    <w:p w:rsidR="00E732AF" w:rsidRDefault="00E732AF" w:rsidP="006E418A">
      <w:pPr>
        <w:rPr>
          <w:sz w:val="24"/>
          <w:szCs w:val="24"/>
        </w:rPr>
      </w:pPr>
      <w:r>
        <w:rPr>
          <w:sz w:val="24"/>
          <w:szCs w:val="24"/>
        </w:rPr>
        <w:t xml:space="preserve">Plagiarism is using someone else’s idea without referencing the source or using pictorial work without permission or referencing the source. Malpractice is where you submit another students’ written work as your own work. If there is a suspicion of plagiarism or malpractice, the Head of Department and Senior Tutor will be informed and a hearing will take place. If a student is found guilty, they will be subject to disciplinary action by the College and the awarding body will be informed.  If a student has signed the declaration form for the coursework to state this is their own work, the exam board will need to inform other exam boards which may harm your qualifications in other subjects.  Students should also be aware that the College is subscribed to software designed to detect plagiarism and malpractice.  </w:t>
      </w:r>
    </w:p>
    <w:p w:rsidR="00E732AF" w:rsidRDefault="00E732AF" w:rsidP="006E418A">
      <w:pPr>
        <w:rPr>
          <w:sz w:val="24"/>
          <w:szCs w:val="24"/>
        </w:rPr>
      </w:pPr>
      <w:r>
        <w:rPr>
          <w:sz w:val="24"/>
          <w:szCs w:val="24"/>
        </w:rPr>
        <w:t xml:space="preserve">Any further questions on </w:t>
      </w:r>
      <w:r w:rsidR="00C90A2B">
        <w:rPr>
          <w:sz w:val="24"/>
          <w:szCs w:val="24"/>
        </w:rPr>
        <w:t>NEA</w:t>
      </w:r>
      <w:r>
        <w:rPr>
          <w:sz w:val="24"/>
          <w:szCs w:val="24"/>
        </w:rPr>
        <w:t xml:space="preserve"> procedures can be found on the Godalming Online Exams Website.</w:t>
      </w:r>
    </w:p>
    <w:p w:rsidR="00E732AF" w:rsidRDefault="00E732AF" w:rsidP="006E418A">
      <w:pPr>
        <w:rPr>
          <w:b/>
          <w:sz w:val="24"/>
          <w:szCs w:val="24"/>
        </w:rPr>
      </w:pPr>
    </w:p>
    <w:p w:rsidR="00E732AF" w:rsidRDefault="00E732AF" w:rsidP="006E418A">
      <w:pPr>
        <w:rPr>
          <w:b/>
          <w:sz w:val="24"/>
          <w:szCs w:val="24"/>
          <w:u w:val="single"/>
        </w:rPr>
      </w:pPr>
      <w:r>
        <w:rPr>
          <w:b/>
          <w:sz w:val="24"/>
          <w:szCs w:val="24"/>
          <w:u w:val="single"/>
        </w:rPr>
        <w:t>Department Late Policy</w:t>
      </w:r>
    </w:p>
    <w:p w:rsidR="00E732AF" w:rsidRDefault="00E732AF" w:rsidP="006E418A">
      <w:pPr>
        <w:rPr>
          <w:sz w:val="24"/>
          <w:szCs w:val="24"/>
        </w:rPr>
      </w:pPr>
      <w:r>
        <w:rPr>
          <w:sz w:val="24"/>
          <w:szCs w:val="24"/>
        </w:rPr>
        <w:t xml:space="preserve">In line with the ‘College Assessment Policy’, the department are under no obligation to provide feedback to a student who does not meet the internal deadlines for weekly independent tasks, benchmark assessments or </w:t>
      </w:r>
      <w:r w:rsidR="001E6C61">
        <w:rPr>
          <w:sz w:val="24"/>
          <w:szCs w:val="24"/>
        </w:rPr>
        <w:t xml:space="preserve">final projects. </w:t>
      </w:r>
      <w:r>
        <w:rPr>
          <w:sz w:val="24"/>
          <w:szCs w:val="24"/>
        </w:rPr>
        <w:t>Students who fail to prepare adequately for lesson</w:t>
      </w:r>
      <w:r w:rsidR="001E6C61">
        <w:rPr>
          <w:sz w:val="24"/>
          <w:szCs w:val="24"/>
        </w:rPr>
        <w:t>s</w:t>
      </w:r>
      <w:r>
        <w:rPr>
          <w:sz w:val="24"/>
          <w:szCs w:val="24"/>
        </w:rPr>
        <w:t xml:space="preserve"> as requested, maybe excluded for part of the lesson and asked to work independently at the back of the classroom.  A continued failure to meet deadlines will result in a reference to the pastoral team and a department action plan with involvement from parents.</w:t>
      </w:r>
    </w:p>
    <w:p w:rsidR="00E732AF" w:rsidRDefault="00E732AF" w:rsidP="006E418A">
      <w:pPr>
        <w:rPr>
          <w:b/>
          <w:caps/>
          <w:sz w:val="24"/>
          <w:szCs w:val="24"/>
          <w:highlight w:val="yellow"/>
          <w:u w:val="single"/>
        </w:rPr>
      </w:pPr>
    </w:p>
    <w:p w:rsidR="00581728" w:rsidRDefault="00581728" w:rsidP="006E418A">
      <w:pPr>
        <w:spacing w:after="0"/>
        <w:rPr>
          <w:b/>
          <w:sz w:val="24"/>
          <w:u w:val="single"/>
        </w:rPr>
      </w:pPr>
    </w:p>
    <w:p w:rsidR="00581728" w:rsidRDefault="00581728" w:rsidP="006E418A">
      <w:pPr>
        <w:spacing w:after="0"/>
        <w:rPr>
          <w:b/>
          <w:sz w:val="24"/>
          <w:u w:val="single"/>
        </w:rPr>
      </w:pPr>
    </w:p>
    <w:p w:rsidR="008644FE" w:rsidRDefault="001E6C61" w:rsidP="006E418A">
      <w:pPr>
        <w:spacing w:after="0"/>
        <w:rPr>
          <w:b/>
          <w:sz w:val="24"/>
          <w:u w:val="single"/>
        </w:rPr>
      </w:pPr>
      <w:r w:rsidRPr="001E6C61">
        <w:rPr>
          <w:b/>
          <w:sz w:val="24"/>
          <w:u w:val="single"/>
        </w:rPr>
        <w:t>How does the department support under-performing students?</w:t>
      </w:r>
    </w:p>
    <w:p w:rsidR="00581728" w:rsidRDefault="00581728" w:rsidP="006E418A">
      <w:pPr>
        <w:spacing w:after="0"/>
        <w:rPr>
          <w:b/>
          <w:sz w:val="24"/>
          <w:u w:val="single"/>
        </w:rPr>
      </w:pPr>
    </w:p>
    <w:p w:rsidR="00581728" w:rsidRDefault="00581728" w:rsidP="006E418A">
      <w:pPr>
        <w:spacing w:after="0"/>
        <w:rPr>
          <w:sz w:val="24"/>
        </w:rPr>
      </w:pPr>
      <w:r>
        <w:rPr>
          <w:sz w:val="24"/>
        </w:rPr>
        <w:t xml:space="preserve">The underlying philosophy of Art and Design Department is that anyone can be an artist or a designer, and student performance is closely monitored so that support can be provided when needed. </w:t>
      </w:r>
    </w:p>
    <w:p w:rsidR="00581728" w:rsidRDefault="00581728" w:rsidP="006E418A">
      <w:pPr>
        <w:spacing w:after="0"/>
        <w:rPr>
          <w:sz w:val="24"/>
        </w:rPr>
      </w:pPr>
    </w:p>
    <w:p w:rsidR="00581728" w:rsidRDefault="00581728" w:rsidP="006E418A">
      <w:pPr>
        <w:spacing w:after="0"/>
        <w:rPr>
          <w:sz w:val="24"/>
        </w:rPr>
      </w:pPr>
      <w:r>
        <w:rPr>
          <w:sz w:val="24"/>
        </w:rPr>
        <w:t xml:space="preserve">If a student is underperforming </w:t>
      </w:r>
      <w:r w:rsidR="006F3A40">
        <w:rPr>
          <w:sz w:val="24"/>
        </w:rPr>
        <w:t>it will be identified through 1-1’s with their teacher or by a more formal review at the time of a benchmark assessment. To begin with students will be given specific targets or support to help improve their performance</w:t>
      </w:r>
      <w:r w:rsidR="00CB46AE">
        <w:rPr>
          <w:sz w:val="24"/>
        </w:rPr>
        <w:t xml:space="preserve"> in the process of a normal 1-1 with their teacher</w:t>
      </w:r>
      <w:r w:rsidR="006F3A40">
        <w:rPr>
          <w:sz w:val="24"/>
        </w:rPr>
        <w:t>. The weekly workshops will also be used to offer students additional time on particular skills or content.</w:t>
      </w:r>
    </w:p>
    <w:p w:rsidR="006F3A40" w:rsidRDefault="006F3A40" w:rsidP="006E418A">
      <w:pPr>
        <w:spacing w:after="0"/>
        <w:rPr>
          <w:sz w:val="24"/>
        </w:rPr>
      </w:pPr>
    </w:p>
    <w:p w:rsidR="006F3A40" w:rsidRPr="00581728" w:rsidRDefault="006F3A40" w:rsidP="006E418A">
      <w:pPr>
        <w:spacing w:after="0"/>
        <w:rPr>
          <w:sz w:val="24"/>
        </w:rPr>
      </w:pPr>
      <w:r>
        <w:rPr>
          <w:sz w:val="24"/>
        </w:rPr>
        <w:t>This process of reflection, target setting and focused support is the way students learn at A-Level and at some point almost all students will need some extra help and advice. If more formal support is needed then a student will be given a departmental action plan with a set of approximately three clea</w:t>
      </w:r>
      <w:r w:rsidR="00CB46AE">
        <w:rPr>
          <w:sz w:val="24"/>
        </w:rPr>
        <w:t>r targets to help them improve</w:t>
      </w:r>
      <w:r>
        <w:rPr>
          <w:sz w:val="24"/>
        </w:rPr>
        <w:t>. Targets will also be set with a deadli</w:t>
      </w:r>
      <w:r w:rsidR="00CB46AE">
        <w:rPr>
          <w:sz w:val="24"/>
        </w:rPr>
        <w:t>ne of a minimum of three weeks and students may be timetabled into a department workshop.</w:t>
      </w:r>
      <w:r>
        <w:rPr>
          <w:sz w:val="24"/>
        </w:rPr>
        <w:t xml:space="preserve"> Hopefully, this will be enough to help a student improve their performance. If when the action plan expires, however, the student has only partia</w:t>
      </w:r>
      <w:r w:rsidR="00CB46AE">
        <w:rPr>
          <w:sz w:val="24"/>
        </w:rPr>
        <w:t>lly met the</w:t>
      </w:r>
      <w:r>
        <w:rPr>
          <w:sz w:val="24"/>
        </w:rPr>
        <w:t xml:space="preserve"> terms then it will be reviewed again and new targets set. If a student has not met their targets then the action plan will be referred to a Senior T</w:t>
      </w:r>
      <w:r w:rsidR="00CB46AE">
        <w:rPr>
          <w:sz w:val="24"/>
        </w:rPr>
        <w:t xml:space="preserve">utor when they may be given a formal or supportive warning. </w:t>
      </w:r>
    </w:p>
    <w:p w:rsidR="00581728" w:rsidRDefault="00581728" w:rsidP="006E418A">
      <w:pPr>
        <w:spacing w:after="0"/>
        <w:rPr>
          <w:b/>
          <w:sz w:val="24"/>
          <w:u w:val="single"/>
        </w:rPr>
      </w:pPr>
    </w:p>
    <w:p w:rsidR="00581728" w:rsidRPr="001E6C61" w:rsidRDefault="00581728" w:rsidP="006E418A">
      <w:pPr>
        <w:spacing w:after="0"/>
        <w:rPr>
          <w:b/>
          <w:sz w:val="24"/>
          <w:u w:val="single"/>
        </w:rPr>
      </w:pPr>
    </w:p>
    <w:sectPr w:rsidR="00581728" w:rsidRPr="001E6C61" w:rsidSect="003544EA">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270" w:rsidRDefault="00014270" w:rsidP="00A60B8D">
      <w:pPr>
        <w:spacing w:after="0" w:line="240" w:lineRule="auto"/>
      </w:pPr>
      <w:r>
        <w:separator/>
      </w:r>
    </w:p>
  </w:endnote>
  <w:endnote w:type="continuationSeparator" w:id="0">
    <w:p w:rsidR="00014270" w:rsidRDefault="00014270" w:rsidP="00A6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305244"/>
      <w:docPartObj>
        <w:docPartGallery w:val="Page Numbers (Bottom of Page)"/>
        <w:docPartUnique/>
      </w:docPartObj>
    </w:sdtPr>
    <w:sdtEndPr>
      <w:rPr>
        <w:noProof/>
      </w:rPr>
    </w:sdtEndPr>
    <w:sdtContent>
      <w:p w:rsidR="00014270" w:rsidRDefault="00014270">
        <w:pPr>
          <w:pStyle w:val="Footer"/>
          <w:jc w:val="center"/>
        </w:pPr>
        <w:r>
          <w:fldChar w:fldCharType="begin"/>
        </w:r>
        <w:r>
          <w:instrText xml:space="preserve"> PAGE   \* MERGEFORMAT </w:instrText>
        </w:r>
        <w:r>
          <w:fldChar w:fldCharType="separate"/>
        </w:r>
        <w:r w:rsidR="009D6BCF">
          <w:rPr>
            <w:noProof/>
          </w:rPr>
          <w:t>6</w:t>
        </w:r>
        <w:r>
          <w:rPr>
            <w:noProof/>
          </w:rPr>
          <w:fldChar w:fldCharType="end"/>
        </w:r>
      </w:p>
    </w:sdtContent>
  </w:sdt>
  <w:p w:rsidR="00014270" w:rsidRDefault="00014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270" w:rsidRDefault="00014270" w:rsidP="00A60B8D">
      <w:pPr>
        <w:spacing w:after="0" w:line="240" w:lineRule="auto"/>
      </w:pPr>
      <w:r>
        <w:separator/>
      </w:r>
    </w:p>
  </w:footnote>
  <w:footnote w:type="continuationSeparator" w:id="0">
    <w:p w:rsidR="00014270" w:rsidRDefault="00014270" w:rsidP="00A60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70" w:rsidRPr="00C31463" w:rsidRDefault="00014270" w:rsidP="00C31463">
    <w:pPr>
      <w:pStyle w:val="Header"/>
    </w:pPr>
    <w:r w:rsidRPr="001B07B6">
      <w:rPr>
        <w:b/>
        <w:bCs/>
        <w:caps/>
        <w:noProof/>
        <w:sz w:val="32"/>
        <w:szCs w:val="32"/>
        <w:u w:val="single"/>
        <w:lang w:eastAsia="en-GB"/>
      </w:rPr>
      <w:drawing>
        <wp:anchor distT="0" distB="0" distL="114300" distR="114300" simplePos="0" relativeHeight="251659264" behindDoc="0" locked="0" layoutInCell="1" allowOverlap="1" wp14:anchorId="339D149C" wp14:editId="2C2C6D0E">
          <wp:simplePos x="0" y="0"/>
          <wp:positionH relativeFrom="margin">
            <wp:posOffset>165100</wp:posOffset>
          </wp:positionH>
          <wp:positionV relativeFrom="paragraph">
            <wp:posOffset>-321945</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736"/>
    <w:multiLevelType w:val="hybridMultilevel"/>
    <w:tmpl w:val="E0220E48"/>
    <w:lvl w:ilvl="0" w:tplc="62A27C1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886A68"/>
    <w:multiLevelType w:val="hybridMultilevel"/>
    <w:tmpl w:val="E35617C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A1154"/>
    <w:multiLevelType w:val="hybridMultilevel"/>
    <w:tmpl w:val="024EE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864CF6"/>
    <w:multiLevelType w:val="hybridMultilevel"/>
    <w:tmpl w:val="5D700712"/>
    <w:lvl w:ilvl="0" w:tplc="AE325EB2">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DC05CA"/>
    <w:multiLevelType w:val="hybridMultilevel"/>
    <w:tmpl w:val="15F6E1B8"/>
    <w:lvl w:ilvl="0" w:tplc="05F2589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76F62"/>
    <w:multiLevelType w:val="hybridMultilevel"/>
    <w:tmpl w:val="A5FE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F48C7"/>
    <w:multiLevelType w:val="hybridMultilevel"/>
    <w:tmpl w:val="712AB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3"/>
  </w:num>
  <w:num w:numId="4">
    <w:abstractNumId w:val="0"/>
  </w:num>
  <w:num w:numId="5">
    <w:abstractNumId w:val="1"/>
  </w:num>
  <w:num w:numId="6">
    <w:abstractNumId w:val="6"/>
  </w:num>
  <w:num w:numId="7">
    <w:abstractNumId w:val="3"/>
  </w:num>
  <w:num w:numId="8">
    <w:abstractNumId w:val="10"/>
  </w:num>
  <w:num w:numId="9">
    <w:abstractNumId w:val="7"/>
  </w:num>
  <w:num w:numId="10">
    <w:abstractNumId w:val="9"/>
  </w:num>
  <w:num w:numId="11">
    <w:abstractNumId w:val="4"/>
  </w:num>
  <w:num w:numId="12">
    <w:abstractNumId w:val="3"/>
  </w:num>
  <w:num w:numId="13">
    <w:abstractNumId w:val="8"/>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6"/>
    <w:rsid w:val="0000059E"/>
    <w:rsid w:val="000055B1"/>
    <w:rsid w:val="00014270"/>
    <w:rsid w:val="00014A8A"/>
    <w:rsid w:val="00070E1F"/>
    <w:rsid w:val="0009495E"/>
    <w:rsid w:val="000B6027"/>
    <w:rsid w:val="000C2C67"/>
    <w:rsid w:val="000C6D4E"/>
    <w:rsid w:val="000E12E0"/>
    <w:rsid w:val="000E28B4"/>
    <w:rsid w:val="00100B05"/>
    <w:rsid w:val="00132704"/>
    <w:rsid w:val="00134A74"/>
    <w:rsid w:val="0014364A"/>
    <w:rsid w:val="00161B35"/>
    <w:rsid w:val="001641C5"/>
    <w:rsid w:val="00166C89"/>
    <w:rsid w:val="001776C5"/>
    <w:rsid w:val="00187203"/>
    <w:rsid w:val="00190FF1"/>
    <w:rsid w:val="001B26C7"/>
    <w:rsid w:val="001E4BCF"/>
    <w:rsid w:val="001E6C61"/>
    <w:rsid w:val="00205DE2"/>
    <w:rsid w:val="00210AE9"/>
    <w:rsid w:val="002219BE"/>
    <w:rsid w:val="00251F60"/>
    <w:rsid w:val="002570CD"/>
    <w:rsid w:val="0028423B"/>
    <w:rsid w:val="002C2819"/>
    <w:rsid w:val="002D3E4D"/>
    <w:rsid w:val="002E0997"/>
    <w:rsid w:val="002F3BB9"/>
    <w:rsid w:val="00350807"/>
    <w:rsid w:val="003544EA"/>
    <w:rsid w:val="00385237"/>
    <w:rsid w:val="003E7782"/>
    <w:rsid w:val="004063AB"/>
    <w:rsid w:val="004862F0"/>
    <w:rsid w:val="004A0F1C"/>
    <w:rsid w:val="004A735F"/>
    <w:rsid w:val="004F4F4A"/>
    <w:rsid w:val="00512ADE"/>
    <w:rsid w:val="00533435"/>
    <w:rsid w:val="0058132F"/>
    <w:rsid w:val="00581728"/>
    <w:rsid w:val="00590C82"/>
    <w:rsid w:val="005960EB"/>
    <w:rsid w:val="005F723F"/>
    <w:rsid w:val="0063244D"/>
    <w:rsid w:val="006339AE"/>
    <w:rsid w:val="00646075"/>
    <w:rsid w:val="00676252"/>
    <w:rsid w:val="0067736A"/>
    <w:rsid w:val="00695296"/>
    <w:rsid w:val="00695863"/>
    <w:rsid w:val="006E418A"/>
    <w:rsid w:val="006F3A40"/>
    <w:rsid w:val="006F4BE3"/>
    <w:rsid w:val="006F5223"/>
    <w:rsid w:val="007618CB"/>
    <w:rsid w:val="007A24F4"/>
    <w:rsid w:val="007C638C"/>
    <w:rsid w:val="007E36DD"/>
    <w:rsid w:val="007E3DF0"/>
    <w:rsid w:val="007E4BB9"/>
    <w:rsid w:val="007F07C6"/>
    <w:rsid w:val="007F618E"/>
    <w:rsid w:val="008018C9"/>
    <w:rsid w:val="00846CC9"/>
    <w:rsid w:val="008644FE"/>
    <w:rsid w:val="00894425"/>
    <w:rsid w:val="008A239A"/>
    <w:rsid w:val="008C71F8"/>
    <w:rsid w:val="008E34BA"/>
    <w:rsid w:val="008F4A42"/>
    <w:rsid w:val="009301D0"/>
    <w:rsid w:val="0096032A"/>
    <w:rsid w:val="009603C0"/>
    <w:rsid w:val="00961F60"/>
    <w:rsid w:val="009660DF"/>
    <w:rsid w:val="00980B7A"/>
    <w:rsid w:val="00983529"/>
    <w:rsid w:val="009A5F33"/>
    <w:rsid w:val="009D6BCF"/>
    <w:rsid w:val="009E6C7B"/>
    <w:rsid w:val="009E7CC2"/>
    <w:rsid w:val="00A26F58"/>
    <w:rsid w:val="00A60B8D"/>
    <w:rsid w:val="00A92032"/>
    <w:rsid w:val="00A93FE6"/>
    <w:rsid w:val="00AF1DD0"/>
    <w:rsid w:val="00B16449"/>
    <w:rsid w:val="00B8366A"/>
    <w:rsid w:val="00B918AB"/>
    <w:rsid w:val="00BA2F2C"/>
    <w:rsid w:val="00BA3614"/>
    <w:rsid w:val="00BB37EA"/>
    <w:rsid w:val="00BE39AD"/>
    <w:rsid w:val="00BE7755"/>
    <w:rsid w:val="00C31463"/>
    <w:rsid w:val="00C3313C"/>
    <w:rsid w:val="00C45386"/>
    <w:rsid w:val="00C90A2B"/>
    <w:rsid w:val="00C91189"/>
    <w:rsid w:val="00CB46AE"/>
    <w:rsid w:val="00CE3D47"/>
    <w:rsid w:val="00CF611D"/>
    <w:rsid w:val="00D05334"/>
    <w:rsid w:val="00D07038"/>
    <w:rsid w:val="00D11AFD"/>
    <w:rsid w:val="00D14384"/>
    <w:rsid w:val="00D57509"/>
    <w:rsid w:val="00DB0DF4"/>
    <w:rsid w:val="00DD298E"/>
    <w:rsid w:val="00DE53D9"/>
    <w:rsid w:val="00DF6204"/>
    <w:rsid w:val="00E710D8"/>
    <w:rsid w:val="00E732AF"/>
    <w:rsid w:val="00E97E6F"/>
    <w:rsid w:val="00EC21A1"/>
    <w:rsid w:val="00F02EC5"/>
    <w:rsid w:val="00F035F8"/>
    <w:rsid w:val="00F21E64"/>
    <w:rsid w:val="00F36052"/>
    <w:rsid w:val="00F367E6"/>
    <w:rsid w:val="00F63DC3"/>
    <w:rsid w:val="00FD6BC2"/>
    <w:rsid w:val="00FD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A176"/>
  <w15:chartTrackingRefBased/>
  <w15:docId w15:val="{2FF650E2-DE43-4FBC-B9F9-044EA7E0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7E6"/>
    <w:pPr>
      <w:ind w:left="720"/>
      <w:contextualSpacing/>
    </w:pPr>
  </w:style>
  <w:style w:type="paragraph" w:styleId="Header">
    <w:name w:val="header"/>
    <w:basedOn w:val="Normal"/>
    <w:link w:val="HeaderChar"/>
    <w:uiPriority w:val="99"/>
    <w:unhideWhenUsed/>
    <w:rsid w:val="00A60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B8D"/>
  </w:style>
  <w:style w:type="paragraph" w:styleId="Footer">
    <w:name w:val="footer"/>
    <w:basedOn w:val="Normal"/>
    <w:link w:val="FooterChar"/>
    <w:uiPriority w:val="99"/>
    <w:unhideWhenUsed/>
    <w:rsid w:val="00A60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B8D"/>
  </w:style>
  <w:style w:type="character" w:styleId="Hyperlink">
    <w:name w:val="Hyperlink"/>
    <w:basedOn w:val="DefaultParagraphFont"/>
    <w:uiPriority w:val="99"/>
    <w:semiHidden/>
    <w:unhideWhenUsed/>
    <w:rsid w:val="00E73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9618">
      <w:bodyDiv w:val="1"/>
      <w:marLeft w:val="0"/>
      <w:marRight w:val="0"/>
      <w:marTop w:val="0"/>
      <w:marBottom w:val="0"/>
      <w:divBdr>
        <w:top w:val="none" w:sz="0" w:space="0" w:color="auto"/>
        <w:left w:val="none" w:sz="0" w:space="0" w:color="auto"/>
        <w:bottom w:val="none" w:sz="0" w:space="0" w:color="auto"/>
        <w:right w:val="none" w:sz="0" w:space="0" w:color="auto"/>
      </w:divBdr>
    </w:div>
    <w:div w:id="4642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20BA2-548B-4A77-9F32-22B655FB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36A91540</Template>
  <TotalTime>465</TotalTime>
  <Pages>6</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24</cp:revision>
  <dcterms:created xsi:type="dcterms:W3CDTF">2019-10-10T09:43:00Z</dcterms:created>
  <dcterms:modified xsi:type="dcterms:W3CDTF">2019-12-02T15:06:00Z</dcterms:modified>
</cp:coreProperties>
</file>