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86F2F" w:rsidRPr="007D552E" w:rsidTr="0011565F">
        <w:tc>
          <w:tcPr>
            <w:tcW w:w="2547" w:type="dxa"/>
          </w:tcPr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  <w:r w:rsidRPr="007D552E">
              <w:rPr>
                <w:rFonts w:ascii="Arial" w:hAnsi="Arial" w:cs="Arial"/>
                <w:color w:val="0070C0"/>
              </w:rPr>
              <w:t>Learning Aim C</w:t>
            </w: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Cardiovascular disease</w:t>
            </w: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Nervous tissue</w:t>
            </w: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(</w:t>
            </w:r>
            <w:r w:rsidRPr="007D552E">
              <w:rPr>
                <w:rFonts w:ascii="Arial" w:hAnsi="Arial" w:cs="Arial"/>
                <w:color w:val="0070C0"/>
              </w:rPr>
              <w:t>Vascular</w:t>
            </w:r>
            <w:r>
              <w:rPr>
                <w:rFonts w:ascii="Arial" w:hAnsi="Arial" w:cs="Arial"/>
                <w:color w:val="0070C0"/>
              </w:rPr>
              <w:t>) D</w:t>
            </w:r>
            <w:r w:rsidRPr="007D552E">
              <w:rPr>
                <w:rFonts w:ascii="Arial" w:hAnsi="Arial" w:cs="Arial"/>
                <w:color w:val="0070C0"/>
              </w:rPr>
              <w:t>ementia</w:t>
            </w: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Alzheimer’s disease</w:t>
            </w: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Lifestyle choice</w:t>
            </w: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Degenerative diseases (Parkinson’s disease)</w:t>
            </w: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A86F2F">
        <w:trPr>
          <w:trHeight w:val="2012"/>
        </w:trPr>
        <w:tc>
          <w:tcPr>
            <w:tcW w:w="2547" w:type="dxa"/>
          </w:tcPr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Osteoarthritis</w:t>
            </w: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Nutrient deficiencies</w:t>
            </w: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  <w:r w:rsidRPr="007D552E">
              <w:rPr>
                <w:rFonts w:ascii="Arial" w:hAnsi="Arial" w:cs="Arial"/>
                <w:color w:val="0070C0"/>
              </w:rPr>
              <w:t>Social disengagement theory (summarise)</w:t>
            </w: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  <w:r w:rsidRPr="007D552E">
              <w:rPr>
                <w:rFonts w:ascii="Arial" w:hAnsi="Arial" w:cs="Arial"/>
                <w:color w:val="0070C0"/>
              </w:rPr>
              <w:t>Activity Theory (summarise)</w:t>
            </w:r>
          </w:p>
        </w:tc>
        <w:tc>
          <w:tcPr>
            <w:tcW w:w="6469" w:type="dxa"/>
          </w:tcPr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lastRenderedPageBreak/>
              <w:t xml:space="preserve">Informal healthcare </w:t>
            </w:r>
          </w:p>
        </w:tc>
        <w:tc>
          <w:tcPr>
            <w:tcW w:w="6469" w:type="dxa"/>
          </w:tcPr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</w:p>
        </w:tc>
      </w:tr>
      <w:tr w:rsidR="00A86F2F" w:rsidRPr="007D552E" w:rsidTr="0011565F">
        <w:tc>
          <w:tcPr>
            <w:tcW w:w="2547" w:type="dxa"/>
          </w:tcPr>
          <w:p w:rsidR="00A86F2F" w:rsidRPr="007D552E" w:rsidRDefault="00A86F2F" w:rsidP="0011565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Formal healthcare</w:t>
            </w:r>
          </w:p>
        </w:tc>
        <w:tc>
          <w:tcPr>
            <w:tcW w:w="6469" w:type="dxa"/>
          </w:tcPr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Default="00A86F2F" w:rsidP="0011565F">
            <w:pPr>
              <w:rPr>
                <w:rFonts w:ascii="Arial" w:hAnsi="Arial" w:cs="Arial"/>
                <w:u w:val="single"/>
              </w:rPr>
            </w:pPr>
          </w:p>
          <w:p w:rsidR="00A86F2F" w:rsidRPr="007D552E" w:rsidRDefault="00A86F2F" w:rsidP="0011565F">
            <w:pPr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</w:p>
        </w:tc>
      </w:tr>
    </w:tbl>
    <w:p w:rsidR="00D45703" w:rsidRDefault="00D45703"/>
    <w:sectPr w:rsidR="00D45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2F"/>
    <w:rsid w:val="00A86F2F"/>
    <w:rsid w:val="00D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6E74"/>
  <w15:chartTrackingRefBased/>
  <w15:docId w15:val="{D4B52CC0-6DF1-4AF5-ABF6-625D5D5A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Harriet Broughton</cp:lastModifiedBy>
  <cp:revision>1</cp:revision>
  <dcterms:created xsi:type="dcterms:W3CDTF">2020-03-11T11:07:00Z</dcterms:created>
  <dcterms:modified xsi:type="dcterms:W3CDTF">2020-03-11T11:11:00Z</dcterms:modified>
</cp:coreProperties>
</file>