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1261A" w14:textId="77777777" w:rsidR="00E1596E" w:rsidRPr="00FC7202" w:rsidRDefault="00375B19" w:rsidP="009207EC">
      <w:pPr>
        <w:pStyle w:val="Heading2"/>
        <w:jc w:val="center"/>
        <w:rPr>
          <w:u w:val="single"/>
        </w:rPr>
      </w:pPr>
      <w:r w:rsidRPr="00FC7202">
        <w:rPr>
          <w:u w:val="single"/>
        </w:rPr>
        <w:t>Balance of Payments</w:t>
      </w:r>
    </w:p>
    <w:p w14:paraId="71CF8A22" w14:textId="77777777" w:rsidR="009207EC" w:rsidRPr="009207EC" w:rsidRDefault="009207EC" w:rsidP="009207EC"/>
    <w:p w14:paraId="41F340A0" w14:textId="77777777" w:rsidR="00E1596E" w:rsidRPr="009207EC" w:rsidRDefault="00E1596E" w:rsidP="00E1596E">
      <w:pPr>
        <w:rPr>
          <w:u w:val="single"/>
        </w:rPr>
      </w:pPr>
      <w:r w:rsidRPr="009207EC">
        <w:rPr>
          <w:u w:val="single"/>
        </w:rPr>
        <w:t xml:space="preserve">Starter activity </w:t>
      </w:r>
    </w:p>
    <w:p w14:paraId="2C0300C9" w14:textId="2184AF33" w:rsidR="00E1596E" w:rsidRDefault="009207EC" w:rsidP="00E1596E">
      <w:pPr>
        <w:rPr>
          <w:i/>
        </w:rPr>
      </w:pPr>
      <w:r w:rsidRPr="0064579F">
        <w:rPr>
          <w:b/>
          <w:i/>
        </w:rPr>
        <w:t>Import (M) or Export (X)</w:t>
      </w:r>
      <w:r w:rsidR="0064579F" w:rsidRPr="0064579F">
        <w:rPr>
          <w:b/>
          <w:i/>
        </w:rPr>
        <w:t xml:space="preserve"> to the UK</w:t>
      </w:r>
      <w:r w:rsidR="00E1596E" w:rsidRPr="0064579F">
        <w:rPr>
          <w:b/>
          <w:i/>
        </w:rPr>
        <w:t>?</w:t>
      </w:r>
      <w:r w:rsidR="00E1596E" w:rsidRPr="00E1596E">
        <w:rPr>
          <w:i/>
        </w:rPr>
        <w:t xml:space="preserve"> Think about the direction the money is flowing in. If money is flowing into the cou</w:t>
      </w:r>
      <w:r w:rsidR="00FC7202">
        <w:rPr>
          <w:i/>
        </w:rPr>
        <w:t>ntry then it must be an export. I</w:t>
      </w:r>
      <w:r w:rsidR="00E1596E" w:rsidRPr="00E1596E">
        <w:rPr>
          <w:i/>
        </w:rPr>
        <w:t>f money is flowing out of the country then it must be an import.</w:t>
      </w:r>
    </w:p>
    <w:p w14:paraId="0A41DD83" w14:textId="77777777" w:rsidR="00D17FA2" w:rsidRPr="00D17FA2" w:rsidRDefault="00D17FA2" w:rsidP="00D17FA2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eastAsia="MS PGothic" w:hAnsi="Arial"/>
          <w:color w:val="000000" w:themeColor="text1"/>
          <w:lang w:eastAsia="en-GB"/>
        </w:rPr>
        <w:t xml:space="preserve">1. </w:t>
      </w:r>
      <w:r w:rsidRPr="00D17FA2">
        <w:rPr>
          <w:rFonts w:eastAsia="MS PGothic" w:hAnsi="Arial"/>
          <w:color w:val="000000" w:themeColor="text1"/>
          <w:lang w:eastAsia="en-GB"/>
        </w:rPr>
        <w:t xml:space="preserve">A UK citizen buying a </w:t>
      </w:r>
      <w:r w:rsidR="00A9763A">
        <w:rPr>
          <w:rFonts w:eastAsia="MS PGothic" w:hAnsi="Arial"/>
          <w:color w:val="000000" w:themeColor="text1"/>
          <w:lang w:eastAsia="en-GB"/>
        </w:rPr>
        <w:t>flight to Malaysia with Malaysian Airlines</w:t>
      </w:r>
    </w:p>
    <w:p w14:paraId="1BDBB0CD" w14:textId="77777777" w:rsidR="00D17FA2" w:rsidRPr="00D17FA2" w:rsidRDefault="00D17FA2" w:rsidP="00D17FA2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eastAsia="MS PGothic" w:hAnsi="Arial"/>
          <w:color w:val="000000" w:themeColor="text1"/>
          <w:lang w:eastAsia="en-GB"/>
        </w:rPr>
        <w:t xml:space="preserve">2. </w:t>
      </w:r>
      <w:r w:rsidRPr="00D17FA2">
        <w:rPr>
          <w:rFonts w:eastAsia="MS PGothic" w:hAnsi="Arial"/>
          <w:color w:val="000000" w:themeColor="text1"/>
          <w:lang w:eastAsia="en-GB"/>
        </w:rPr>
        <w:t>A British teacher working in New Zealand and sending the money she earns home to her family.</w:t>
      </w:r>
    </w:p>
    <w:p w14:paraId="561A6384" w14:textId="77777777" w:rsidR="00D17FA2" w:rsidRPr="00D17FA2" w:rsidRDefault="00D17FA2" w:rsidP="00D17FA2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eastAsia="MS PGothic" w:hAnsi="Arial"/>
          <w:color w:val="000000" w:themeColor="text1"/>
          <w:lang w:eastAsia="en-GB"/>
        </w:rPr>
        <w:t xml:space="preserve">3. </w:t>
      </w:r>
      <w:r w:rsidRPr="00D17FA2">
        <w:rPr>
          <w:rFonts w:eastAsia="MS PGothic" w:hAnsi="Arial"/>
          <w:color w:val="000000" w:themeColor="text1"/>
          <w:lang w:eastAsia="en-GB"/>
        </w:rPr>
        <w:t>A British bank arranging Insurance for an American Company</w:t>
      </w:r>
    </w:p>
    <w:p w14:paraId="4D689DE3" w14:textId="77777777" w:rsidR="00D17FA2" w:rsidRPr="00D17FA2" w:rsidRDefault="00D17FA2" w:rsidP="00D17FA2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eastAsia="MS PGothic" w:hAnsi="Arial"/>
          <w:color w:val="000000" w:themeColor="text1"/>
          <w:lang w:eastAsia="en-GB"/>
        </w:rPr>
        <w:t>4. British tourist b</w:t>
      </w:r>
      <w:r w:rsidRPr="00D17FA2">
        <w:rPr>
          <w:rFonts w:eastAsia="MS PGothic" w:hAnsi="Arial"/>
          <w:color w:val="000000" w:themeColor="text1"/>
          <w:lang w:eastAsia="en-GB"/>
        </w:rPr>
        <w:t>ooking a guided tour around a safari park in South Africa</w:t>
      </w:r>
    </w:p>
    <w:p w14:paraId="417DECA0" w14:textId="77777777" w:rsidR="00D17FA2" w:rsidRPr="00D17FA2" w:rsidRDefault="00D17FA2" w:rsidP="00D17FA2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eastAsia="MS PGothic" w:hAnsi="Arial"/>
          <w:color w:val="000000" w:themeColor="text1"/>
          <w:lang w:eastAsia="en-GB"/>
        </w:rPr>
        <w:t>5. A UK citizen g</w:t>
      </w:r>
      <w:r w:rsidRPr="00D17FA2">
        <w:rPr>
          <w:rFonts w:eastAsia="MS PGothic" w:hAnsi="Arial"/>
          <w:color w:val="000000" w:themeColor="text1"/>
          <w:lang w:eastAsia="en-GB"/>
        </w:rPr>
        <w:t>etting a haircut in France</w:t>
      </w:r>
    </w:p>
    <w:p w14:paraId="16EB83D4" w14:textId="77777777" w:rsidR="00D17FA2" w:rsidRPr="00D17FA2" w:rsidRDefault="00D17FA2" w:rsidP="00D17FA2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eastAsia="MS PGothic" w:hAnsi="Arial"/>
          <w:color w:val="000000" w:themeColor="text1"/>
          <w:lang w:eastAsia="en-GB"/>
        </w:rPr>
        <w:t xml:space="preserve">6. </w:t>
      </w:r>
      <w:r w:rsidRPr="00D17FA2">
        <w:rPr>
          <w:rFonts w:eastAsia="MS PGothic" w:hAnsi="Arial"/>
          <w:color w:val="000000" w:themeColor="text1"/>
          <w:lang w:eastAsia="en-GB"/>
        </w:rPr>
        <w:t>An American tourist buys a souvenir on his trip to London</w:t>
      </w:r>
    </w:p>
    <w:p w14:paraId="642D1D5A" w14:textId="77777777" w:rsidR="00D17FA2" w:rsidRDefault="00D17FA2" w:rsidP="00D17FA2">
      <w:pPr>
        <w:spacing w:after="0" w:line="192" w:lineRule="auto"/>
        <w:contextualSpacing/>
        <w:textAlignment w:val="baseline"/>
        <w:rPr>
          <w:rFonts w:eastAsia="MS PGothic" w:hAnsi="Arial"/>
          <w:color w:val="000000" w:themeColor="text1"/>
          <w:lang w:eastAsia="en-GB"/>
        </w:rPr>
      </w:pPr>
      <w:r>
        <w:rPr>
          <w:rFonts w:eastAsia="MS PGothic" w:hAnsi="Arial"/>
          <w:color w:val="000000" w:themeColor="text1"/>
          <w:lang w:eastAsia="en-GB"/>
        </w:rPr>
        <w:t>7. An American citizen b</w:t>
      </w:r>
      <w:r w:rsidRPr="00D17FA2">
        <w:rPr>
          <w:rFonts w:eastAsia="MS PGothic" w:hAnsi="Arial"/>
          <w:color w:val="000000" w:themeColor="text1"/>
          <w:lang w:eastAsia="en-GB"/>
        </w:rPr>
        <w:t>ooking a holiday in a Spanish Villa</w:t>
      </w:r>
    </w:p>
    <w:p w14:paraId="31CBEE85" w14:textId="77777777" w:rsidR="00D17FA2" w:rsidRDefault="00D17FA2" w:rsidP="00D17FA2">
      <w:pPr>
        <w:spacing w:after="0" w:line="192" w:lineRule="auto"/>
        <w:contextualSpacing/>
        <w:textAlignment w:val="baseline"/>
        <w:rPr>
          <w:rFonts w:eastAsia="MS PGothic" w:hAnsi="Arial"/>
          <w:color w:val="000000" w:themeColor="text1"/>
          <w:lang w:eastAsia="en-GB"/>
        </w:rPr>
      </w:pPr>
    </w:p>
    <w:p w14:paraId="778A4293" w14:textId="77777777" w:rsidR="00D17FA2" w:rsidRDefault="00D17FA2" w:rsidP="00D17FA2">
      <w:pPr>
        <w:spacing w:after="0" w:line="192" w:lineRule="auto"/>
        <w:contextualSpacing/>
        <w:textAlignment w:val="baseline"/>
        <w:rPr>
          <w:rFonts w:eastAsia="MS PGothic" w:hAnsi="Arial"/>
          <w:color w:val="000000" w:themeColor="text1"/>
          <w:lang w:eastAsia="en-GB"/>
        </w:rPr>
      </w:pPr>
    </w:p>
    <w:p w14:paraId="0E28EE94" w14:textId="77777777" w:rsidR="00E32A01" w:rsidRPr="009207EC" w:rsidRDefault="009207EC" w:rsidP="00E32A0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Activity 1: </w:t>
      </w:r>
      <w:r w:rsidR="004937BF">
        <w:rPr>
          <w:rFonts w:ascii="Calibri" w:eastAsia="Calibri" w:hAnsi="Calibri" w:cs="Times New Roman"/>
        </w:rPr>
        <w:t>Complete the table below by</w:t>
      </w:r>
      <w:r>
        <w:rPr>
          <w:rFonts w:ascii="Calibri" w:eastAsia="Calibri" w:hAnsi="Calibri" w:cs="Times New Roman"/>
        </w:rPr>
        <w:t xml:space="preserve"> filling in the 4 components that make up the Balance of Payments </w:t>
      </w:r>
      <w:r w:rsidR="004937BF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>Current Account</w:t>
      </w:r>
      <w:r w:rsidR="004937BF">
        <w:rPr>
          <w:rFonts w:ascii="Calibri" w:eastAsia="Calibri" w:hAnsi="Calibri"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E32A01" w:rsidRPr="00E32A01" w14:paraId="658B3203" w14:textId="77777777" w:rsidTr="009207EC">
        <w:tc>
          <w:tcPr>
            <w:tcW w:w="3085" w:type="dxa"/>
            <w:shd w:val="clear" w:color="auto" w:fill="auto"/>
          </w:tcPr>
          <w:p w14:paraId="535549E7" w14:textId="77777777" w:rsidR="00E32A01" w:rsidRPr="00E32A01" w:rsidRDefault="00E32A01" w:rsidP="009207EC">
            <w:pPr>
              <w:jc w:val="center"/>
              <w:rPr>
                <w:rFonts w:ascii="Calibri" w:eastAsia="Calibri" w:hAnsi="Calibri" w:cs="Times New Roman"/>
              </w:rPr>
            </w:pPr>
            <w:r w:rsidRPr="00E32A01">
              <w:rPr>
                <w:rFonts w:ascii="Calibri" w:eastAsia="Calibri" w:hAnsi="Calibri" w:cs="Times New Roman"/>
              </w:rPr>
              <w:t>Current account</w:t>
            </w:r>
            <w:r w:rsidR="009207EC">
              <w:rPr>
                <w:rFonts w:ascii="Calibri" w:eastAsia="Calibri" w:hAnsi="Calibri" w:cs="Times New Roman"/>
              </w:rPr>
              <w:t xml:space="preserve"> component</w:t>
            </w:r>
          </w:p>
        </w:tc>
        <w:tc>
          <w:tcPr>
            <w:tcW w:w="6157" w:type="dxa"/>
            <w:shd w:val="clear" w:color="auto" w:fill="auto"/>
          </w:tcPr>
          <w:p w14:paraId="0A010E38" w14:textId="77777777" w:rsidR="00E32A01" w:rsidRPr="00E32A01" w:rsidRDefault="0084050B" w:rsidP="009207E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Explanation of terms</w:t>
            </w:r>
          </w:p>
        </w:tc>
      </w:tr>
      <w:tr w:rsidR="00E32A01" w:rsidRPr="00E32A01" w14:paraId="6278BC0E" w14:textId="77777777" w:rsidTr="009207EC">
        <w:tc>
          <w:tcPr>
            <w:tcW w:w="3085" w:type="dxa"/>
            <w:shd w:val="clear" w:color="auto" w:fill="auto"/>
          </w:tcPr>
          <w:p w14:paraId="280A9BB8" w14:textId="77777777" w:rsidR="00E32A01" w:rsidRPr="009207EC" w:rsidRDefault="00E32A01" w:rsidP="00E32A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57" w:type="dxa"/>
            <w:shd w:val="clear" w:color="auto" w:fill="auto"/>
          </w:tcPr>
          <w:p w14:paraId="3A04BAA2" w14:textId="77777777" w:rsidR="00E32A01" w:rsidRPr="009207EC" w:rsidRDefault="00375B19" w:rsidP="009207EC">
            <w:pPr>
              <w:jc w:val="center"/>
              <w:rPr>
                <w:rFonts w:ascii="Calibri" w:eastAsia="Calibri" w:hAnsi="Calibri" w:cs="Times New Roman"/>
                <w:szCs w:val="18"/>
              </w:rPr>
            </w:pPr>
            <w:r w:rsidRPr="009207EC">
              <w:rPr>
                <w:rFonts w:ascii="Calibri" w:eastAsia="Calibri" w:hAnsi="Calibri" w:cs="Times New Roman"/>
                <w:szCs w:val="18"/>
              </w:rPr>
              <w:t xml:space="preserve">A record of all trade in visible exports and imports </w:t>
            </w:r>
            <w:r w:rsidR="00510B9D" w:rsidRPr="009207EC">
              <w:rPr>
                <w:rFonts w:ascii="Calibri" w:eastAsia="Calibri" w:hAnsi="Calibri" w:cs="Times New Roman"/>
                <w:szCs w:val="18"/>
              </w:rPr>
              <w:t>(e.g</w:t>
            </w:r>
            <w:r w:rsidR="004937BF">
              <w:rPr>
                <w:rFonts w:ascii="Calibri" w:eastAsia="Calibri" w:hAnsi="Calibri" w:cs="Times New Roman"/>
                <w:szCs w:val="18"/>
              </w:rPr>
              <w:t>.</w:t>
            </w:r>
            <w:r w:rsidR="00510B9D" w:rsidRPr="009207EC">
              <w:rPr>
                <w:rFonts w:ascii="Calibri" w:eastAsia="Calibri" w:hAnsi="Calibri" w:cs="Times New Roman"/>
                <w:szCs w:val="18"/>
              </w:rPr>
              <w:t xml:space="preserve"> manufactured goods, raw materials)</w:t>
            </w:r>
          </w:p>
        </w:tc>
      </w:tr>
      <w:tr w:rsidR="00E32A01" w:rsidRPr="00E32A01" w14:paraId="3E492A67" w14:textId="77777777" w:rsidTr="009207EC">
        <w:tc>
          <w:tcPr>
            <w:tcW w:w="3085" w:type="dxa"/>
            <w:shd w:val="clear" w:color="auto" w:fill="auto"/>
          </w:tcPr>
          <w:p w14:paraId="4CD351CE" w14:textId="77777777" w:rsidR="00E32A01" w:rsidRPr="009207EC" w:rsidRDefault="00E32A01" w:rsidP="00E32A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57" w:type="dxa"/>
            <w:shd w:val="clear" w:color="auto" w:fill="auto"/>
          </w:tcPr>
          <w:p w14:paraId="61F63B2D" w14:textId="77777777" w:rsidR="00E32A01" w:rsidRPr="009207EC" w:rsidRDefault="00375B19" w:rsidP="009207EC">
            <w:pPr>
              <w:jc w:val="center"/>
              <w:rPr>
                <w:rFonts w:ascii="Calibri" w:eastAsia="Calibri" w:hAnsi="Calibri" w:cs="Times New Roman"/>
                <w:szCs w:val="18"/>
              </w:rPr>
            </w:pPr>
            <w:r w:rsidRPr="009207EC">
              <w:rPr>
                <w:rFonts w:ascii="Calibri" w:eastAsia="Calibri" w:hAnsi="Calibri" w:cs="Times New Roman"/>
                <w:szCs w:val="18"/>
              </w:rPr>
              <w:t xml:space="preserve">A record of all </w:t>
            </w:r>
            <w:r w:rsidR="00510B9D" w:rsidRPr="009207EC">
              <w:rPr>
                <w:rFonts w:ascii="Calibri" w:eastAsia="Calibri" w:hAnsi="Calibri" w:cs="Times New Roman"/>
                <w:szCs w:val="18"/>
              </w:rPr>
              <w:t>trade in invisible exports and imports</w:t>
            </w:r>
            <w:r w:rsidR="004937BF">
              <w:rPr>
                <w:rFonts w:ascii="Calibri" w:eastAsia="Calibri" w:hAnsi="Calibri" w:cs="Times New Roman"/>
                <w:szCs w:val="18"/>
              </w:rPr>
              <w:t xml:space="preserve"> </w:t>
            </w:r>
            <w:r w:rsidR="00510B9D" w:rsidRPr="009207EC">
              <w:rPr>
                <w:rFonts w:ascii="Calibri" w:eastAsia="Calibri" w:hAnsi="Calibri" w:cs="Times New Roman"/>
                <w:szCs w:val="18"/>
              </w:rPr>
              <w:t>(e.g</w:t>
            </w:r>
            <w:r w:rsidR="004937BF">
              <w:rPr>
                <w:rFonts w:ascii="Calibri" w:eastAsia="Calibri" w:hAnsi="Calibri" w:cs="Times New Roman"/>
                <w:szCs w:val="18"/>
              </w:rPr>
              <w:t>.</w:t>
            </w:r>
            <w:r w:rsidR="00510B9D" w:rsidRPr="009207EC">
              <w:rPr>
                <w:rFonts w:ascii="Calibri" w:eastAsia="Calibri" w:hAnsi="Calibri" w:cs="Times New Roman"/>
                <w:szCs w:val="18"/>
              </w:rPr>
              <w:t xml:space="preserve"> banking services)</w:t>
            </w:r>
          </w:p>
        </w:tc>
      </w:tr>
      <w:tr w:rsidR="00E32A01" w:rsidRPr="00E32A01" w14:paraId="55E31ED6" w14:textId="77777777" w:rsidTr="009207EC">
        <w:tc>
          <w:tcPr>
            <w:tcW w:w="3085" w:type="dxa"/>
            <w:shd w:val="clear" w:color="auto" w:fill="auto"/>
          </w:tcPr>
          <w:p w14:paraId="17EC9154" w14:textId="77777777" w:rsidR="00E32A01" w:rsidRPr="009207EC" w:rsidRDefault="00E32A01" w:rsidP="008405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57" w:type="dxa"/>
            <w:shd w:val="clear" w:color="auto" w:fill="auto"/>
          </w:tcPr>
          <w:p w14:paraId="69900A2C" w14:textId="77777777" w:rsidR="00E32A01" w:rsidRPr="009207EC" w:rsidRDefault="00510B9D" w:rsidP="009207EC">
            <w:pPr>
              <w:jc w:val="center"/>
              <w:rPr>
                <w:rFonts w:ascii="Calibri" w:eastAsia="Calibri" w:hAnsi="Calibri" w:cs="Times New Roman"/>
                <w:szCs w:val="18"/>
              </w:rPr>
            </w:pPr>
            <w:r w:rsidRPr="009207EC">
              <w:rPr>
                <w:rFonts w:ascii="Calibri" w:eastAsia="Calibri" w:hAnsi="Calibri" w:cs="Times New Roman"/>
                <w:szCs w:val="18"/>
              </w:rPr>
              <w:t>The difference between inward and outward flows of interest, profits and dividends.</w:t>
            </w:r>
          </w:p>
        </w:tc>
      </w:tr>
      <w:tr w:rsidR="00E32A01" w:rsidRPr="00E32A01" w14:paraId="0AD48488" w14:textId="77777777" w:rsidTr="009207EC">
        <w:tc>
          <w:tcPr>
            <w:tcW w:w="3085" w:type="dxa"/>
            <w:shd w:val="clear" w:color="auto" w:fill="auto"/>
          </w:tcPr>
          <w:p w14:paraId="0522E451" w14:textId="77777777" w:rsidR="0084050B" w:rsidRPr="00E32A01" w:rsidRDefault="0084050B" w:rsidP="00E32A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57" w:type="dxa"/>
            <w:shd w:val="clear" w:color="auto" w:fill="auto"/>
          </w:tcPr>
          <w:p w14:paraId="269DB279" w14:textId="77777777" w:rsidR="00E32A01" w:rsidRPr="009207EC" w:rsidRDefault="004937BF" w:rsidP="009207EC">
            <w:pPr>
              <w:jc w:val="center"/>
              <w:rPr>
                <w:rFonts w:ascii="Calibri" w:eastAsia="Calibri" w:hAnsi="Calibri" w:cs="Times New Roman"/>
                <w:szCs w:val="18"/>
              </w:rPr>
            </w:pPr>
            <w:r>
              <w:rPr>
                <w:rFonts w:ascii="Calibri" w:eastAsia="Calibri" w:hAnsi="Calibri" w:cs="Times New Roman"/>
                <w:szCs w:val="18"/>
              </w:rPr>
              <w:t>Consists</w:t>
            </w:r>
            <w:r w:rsidR="00510B9D" w:rsidRPr="009207EC">
              <w:rPr>
                <w:rFonts w:ascii="Calibri" w:eastAsia="Calibri" w:hAnsi="Calibri" w:cs="Times New Roman"/>
                <w:szCs w:val="18"/>
              </w:rPr>
              <w:t xml:space="preserve"> of government</w:t>
            </w:r>
            <w:r>
              <w:rPr>
                <w:rFonts w:ascii="Calibri" w:eastAsia="Calibri" w:hAnsi="Calibri" w:cs="Times New Roman"/>
                <w:szCs w:val="18"/>
              </w:rPr>
              <w:t xml:space="preserve"> and individual</w:t>
            </w:r>
            <w:r w:rsidR="00510B9D" w:rsidRPr="009207EC">
              <w:rPr>
                <w:rFonts w:ascii="Calibri" w:eastAsia="Calibri" w:hAnsi="Calibri" w:cs="Times New Roman"/>
                <w:szCs w:val="18"/>
              </w:rPr>
              <w:t xml:space="preserve"> transfers to and from overseas organisations including the European Union.</w:t>
            </w:r>
          </w:p>
        </w:tc>
      </w:tr>
      <w:tr w:rsidR="00E32A01" w:rsidRPr="00E32A01" w14:paraId="2CA4BE8F" w14:textId="77777777" w:rsidTr="009207EC">
        <w:tc>
          <w:tcPr>
            <w:tcW w:w="3085" w:type="dxa"/>
            <w:shd w:val="clear" w:color="auto" w:fill="auto"/>
          </w:tcPr>
          <w:p w14:paraId="15ED0E34" w14:textId="77777777" w:rsidR="00E32A01" w:rsidRPr="00E32A01" w:rsidRDefault="009207EC" w:rsidP="00FC720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Current account balance</w:t>
            </w:r>
          </w:p>
        </w:tc>
        <w:tc>
          <w:tcPr>
            <w:tcW w:w="6157" w:type="dxa"/>
            <w:shd w:val="clear" w:color="auto" w:fill="auto"/>
          </w:tcPr>
          <w:p w14:paraId="4246AE97" w14:textId="77777777" w:rsidR="00E32A01" w:rsidRPr="009207EC" w:rsidRDefault="004F60F1" w:rsidP="009207EC">
            <w:pPr>
              <w:jc w:val="center"/>
              <w:rPr>
                <w:rFonts w:ascii="Calibri" w:eastAsia="Calibri" w:hAnsi="Calibri" w:cs="Times New Roman"/>
                <w:szCs w:val="18"/>
              </w:rPr>
            </w:pPr>
            <w:r w:rsidRPr="009207EC">
              <w:rPr>
                <w:rFonts w:ascii="Calibri" w:eastAsia="Calibri" w:hAnsi="Calibri" w:cs="Times New Roman"/>
                <w:szCs w:val="18"/>
              </w:rPr>
              <w:t>The sum total of the individual components of the current account. This can be a surplus or deficit.</w:t>
            </w:r>
          </w:p>
        </w:tc>
      </w:tr>
    </w:tbl>
    <w:p w14:paraId="472F3669" w14:textId="77777777" w:rsidR="0084050B" w:rsidRDefault="0084050B" w:rsidP="00D17FA2">
      <w:pPr>
        <w:spacing w:after="0" w:line="192" w:lineRule="auto"/>
        <w:contextualSpacing/>
        <w:textAlignment w:val="baseline"/>
        <w:rPr>
          <w:rFonts w:ascii="Calibri" w:eastAsia="Calibri" w:hAnsi="Calibri" w:cs="Times New Roman"/>
          <w:b/>
          <w:vertAlign w:val="superscript"/>
        </w:rPr>
      </w:pPr>
    </w:p>
    <w:p w14:paraId="79473867" w14:textId="77777777" w:rsidR="0084050B" w:rsidRDefault="0084050B" w:rsidP="00D17FA2">
      <w:pPr>
        <w:spacing w:after="0" w:line="192" w:lineRule="auto"/>
        <w:contextualSpacing/>
        <w:textAlignment w:val="baseline"/>
        <w:rPr>
          <w:rFonts w:eastAsia="MS PGothic" w:hAnsi="Arial"/>
          <w:color w:val="000000" w:themeColor="text1"/>
          <w:lang w:eastAsia="en-GB"/>
        </w:rPr>
      </w:pPr>
    </w:p>
    <w:p w14:paraId="3C4BB497" w14:textId="77777777" w:rsidR="009207EC" w:rsidRDefault="0084050B" w:rsidP="00D17FA2">
      <w:pPr>
        <w:spacing w:after="0" w:line="192" w:lineRule="auto"/>
        <w:contextualSpacing/>
        <w:textAlignment w:val="baseline"/>
      </w:pPr>
      <w:r>
        <w:t xml:space="preserve">A current account deficit </w:t>
      </w:r>
      <w:r w:rsidR="009207EC">
        <w:t>exists when  ............................................................................................................................</w:t>
      </w:r>
    </w:p>
    <w:p w14:paraId="3F5BD15C" w14:textId="77777777" w:rsidR="009207EC" w:rsidRDefault="009207EC" w:rsidP="00D17FA2">
      <w:pPr>
        <w:spacing w:after="0" w:line="192" w:lineRule="auto"/>
        <w:contextualSpacing/>
        <w:textAlignment w:val="baseline"/>
      </w:pPr>
    </w:p>
    <w:p w14:paraId="407B7B5B" w14:textId="77777777" w:rsidR="0084050B" w:rsidRDefault="009207EC" w:rsidP="00D17FA2">
      <w:pPr>
        <w:spacing w:after="0" w:line="192" w:lineRule="auto"/>
        <w:contextualSpacing/>
        <w:textAlignment w:val="baseline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9C19E58" w14:textId="77777777" w:rsidR="00B97691" w:rsidRDefault="00B97691" w:rsidP="00D17FA2">
      <w:pPr>
        <w:spacing w:after="0" w:line="192" w:lineRule="auto"/>
        <w:contextualSpacing/>
        <w:textAlignment w:val="baseline"/>
        <w:rPr>
          <w:rFonts w:eastAsia="MS PGothic" w:hAnsi="Arial"/>
          <w:color w:val="000000" w:themeColor="text1"/>
          <w:lang w:eastAsia="en-GB"/>
        </w:rPr>
      </w:pPr>
    </w:p>
    <w:p w14:paraId="5C383018" w14:textId="77777777" w:rsidR="0084050B" w:rsidRDefault="0084050B" w:rsidP="00D17FA2">
      <w:pPr>
        <w:spacing w:after="0" w:line="192" w:lineRule="auto"/>
        <w:contextualSpacing/>
        <w:textAlignment w:val="baseline"/>
        <w:rPr>
          <w:rFonts w:eastAsia="MS PGothic" w:hAnsi="Arial"/>
          <w:color w:val="000000" w:themeColor="text1"/>
          <w:lang w:eastAsia="en-GB"/>
        </w:rPr>
      </w:pPr>
    </w:p>
    <w:p w14:paraId="7299E0FB" w14:textId="6790B42D" w:rsidR="00E32A01" w:rsidRDefault="00FC7202" w:rsidP="00D17FA2">
      <w:pPr>
        <w:spacing w:after="0" w:line="192" w:lineRule="auto"/>
        <w:contextualSpacing/>
        <w:textAlignment w:val="baseline"/>
        <w:rPr>
          <w:rFonts w:eastAsia="MS PGothic" w:hAnsi="Arial"/>
          <w:color w:val="000000" w:themeColor="text1"/>
          <w:lang w:eastAsia="en-GB"/>
        </w:rPr>
      </w:pPr>
      <w:r w:rsidRPr="00E32A01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B897" wp14:editId="42985A5C">
                <wp:simplePos x="0" y="0"/>
                <wp:positionH relativeFrom="column">
                  <wp:posOffset>-38100</wp:posOffset>
                </wp:positionH>
                <wp:positionV relativeFrom="paragraph">
                  <wp:posOffset>153670</wp:posOffset>
                </wp:positionV>
                <wp:extent cx="6100445" cy="2228850"/>
                <wp:effectExtent l="0" t="0" r="1460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5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8"/>
                              <w:gridCol w:w="4207"/>
                            </w:tblGrid>
                            <w:tr w:rsidR="009207EC" w14:paraId="03C1CA72" w14:textId="77777777" w:rsidTr="00FC7202">
                              <w:trPr>
                                <w:trHeight w:val="294"/>
                              </w:trPr>
                              <w:tc>
                                <w:tcPr>
                                  <w:tcW w:w="5348" w:type="dxa"/>
                                </w:tcPr>
                                <w:p w14:paraId="7DABDEB1" w14:textId="77777777" w:rsidR="009207EC" w:rsidRPr="00AB65CC" w:rsidRDefault="009207EC" w:rsidP="00FC720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B65CC">
                                    <w:rPr>
                                      <w:b/>
                                    </w:rPr>
                                    <w:t>Current account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458B156D" w14:textId="77777777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£</w:t>
                                  </w:r>
                                  <w:r w:rsidRPr="00AB65CC">
                                    <w:rPr>
                                      <w:b/>
                                    </w:rPr>
                                    <w:t>bn</w:t>
                                  </w:r>
                                </w:p>
                              </w:tc>
                            </w:tr>
                            <w:tr w:rsidR="009207EC" w14:paraId="5844BD91" w14:textId="77777777" w:rsidTr="00FC7202">
                              <w:trPr>
                                <w:trHeight w:val="312"/>
                              </w:trPr>
                              <w:tc>
                                <w:tcPr>
                                  <w:tcW w:w="5348" w:type="dxa"/>
                                </w:tcPr>
                                <w:p w14:paraId="3C8034B5" w14:textId="5BF1ED7D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Total exports of goods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1D72CD90" w14:textId="17C2DD32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</w:tr>
                            <w:tr w:rsidR="009207EC" w14:paraId="16CF56D4" w14:textId="77777777" w:rsidTr="00FC7202">
                              <w:trPr>
                                <w:trHeight w:val="294"/>
                              </w:trPr>
                              <w:tc>
                                <w:tcPr>
                                  <w:tcW w:w="5348" w:type="dxa"/>
                                </w:tcPr>
                                <w:p w14:paraId="60293C9D" w14:textId="6B30C3AD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Total imports of goods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2907442E" w14:textId="3D1A88F8" w:rsidR="009207EC" w:rsidRDefault="00FC7202" w:rsidP="00FC7202">
                                  <w:pPr>
                                    <w:jc w:val="center"/>
                                  </w:pPr>
                                  <w:r>
                                    <w:t>70</w:t>
                                  </w:r>
                                </w:p>
                              </w:tc>
                            </w:tr>
                            <w:tr w:rsidR="009207EC" w14:paraId="1BA3B555" w14:textId="77777777" w:rsidTr="00FC7202">
                              <w:trPr>
                                <w:trHeight w:val="312"/>
                              </w:trPr>
                              <w:tc>
                                <w:tcPr>
                                  <w:tcW w:w="5348" w:type="dxa"/>
                                </w:tcPr>
                                <w:p w14:paraId="2B42CCBF" w14:textId="77777777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Total exports of services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3CB58B09" w14:textId="5C05F36D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90</w:t>
                                  </w:r>
                                </w:p>
                              </w:tc>
                            </w:tr>
                            <w:tr w:rsidR="00FC7202" w14:paraId="7FBD68DF" w14:textId="77777777" w:rsidTr="00FC7202">
                              <w:trPr>
                                <w:trHeight w:val="312"/>
                              </w:trPr>
                              <w:tc>
                                <w:tcPr>
                                  <w:tcW w:w="5348" w:type="dxa"/>
                                </w:tcPr>
                                <w:p w14:paraId="52B5017E" w14:textId="206D2F78" w:rsidR="00FC7202" w:rsidRDefault="00FC7202" w:rsidP="00FC7202">
                                  <w:pPr>
                                    <w:jc w:val="center"/>
                                  </w:pPr>
                                  <w:r>
                                    <w:t>Total imports of services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05072FB2" w14:textId="3E0573E0" w:rsidR="00FC7202" w:rsidRDefault="00FC7202" w:rsidP="00FC7202">
                                  <w:pPr>
                                    <w:jc w:val="center"/>
                                  </w:pPr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9207EC" w14:paraId="6E6B0EDD" w14:textId="77777777" w:rsidTr="00FC7202">
                              <w:trPr>
                                <w:trHeight w:val="294"/>
                              </w:trPr>
                              <w:tc>
                                <w:tcPr>
                                  <w:tcW w:w="5348" w:type="dxa"/>
                                </w:tcPr>
                                <w:p w14:paraId="72704848" w14:textId="77777777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Transfers to EU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5891DA28" w14:textId="77777777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</w:p>
                              </w:tc>
                            </w:tr>
                            <w:tr w:rsidR="009207EC" w14:paraId="6494335C" w14:textId="77777777" w:rsidTr="00FC7202">
                              <w:trPr>
                                <w:trHeight w:val="312"/>
                              </w:trPr>
                              <w:tc>
                                <w:tcPr>
                                  <w:tcW w:w="5348" w:type="dxa"/>
                                </w:tcPr>
                                <w:p w14:paraId="1C26286D" w14:textId="48CFB9EF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Transfers to the UK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7EE9A60D" w14:textId="77777777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£1</w:t>
                                  </w:r>
                                </w:p>
                              </w:tc>
                            </w:tr>
                            <w:tr w:rsidR="009207EC" w14:paraId="46BAC74F" w14:textId="77777777" w:rsidTr="00FC7202">
                              <w:trPr>
                                <w:trHeight w:val="312"/>
                              </w:trPr>
                              <w:tc>
                                <w:tcPr>
                                  <w:tcW w:w="5348" w:type="dxa"/>
                                </w:tcPr>
                                <w:p w14:paraId="24834D54" w14:textId="641CE9DA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Investment flow out of the UK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5C3A617C" w14:textId="77777777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£10</w:t>
                                  </w:r>
                                </w:p>
                              </w:tc>
                            </w:tr>
                            <w:tr w:rsidR="009207EC" w14:paraId="154F9940" w14:textId="77777777" w:rsidTr="00FC7202">
                              <w:trPr>
                                <w:trHeight w:val="294"/>
                              </w:trPr>
                              <w:tc>
                                <w:tcPr>
                                  <w:tcW w:w="5348" w:type="dxa"/>
                                </w:tcPr>
                                <w:p w14:paraId="067D05CF" w14:textId="77777777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Investment flow into the UK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05547D17" w14:textId="77777777" w:rsidR="009207EC" w:rsidRDefault="009207EC" w:rsidP="00FC7202">
                                  <w:pPr>
                                    <w:jc w:val="center"/>
                                  </w:pPr>
                                  <w:r>
                                    <w:t>£8</w:t>
                                  </w:r>
                                </w:p>
                              </w:tc>
                            </w:tr>
                            <w:tr w:rsidR="009207EC" w14:paraId="684FF9F1" w14:textId="77777777" w:rsidTr="00FC7202">
                              <w:trPr>
                                <w:trHeight w:val="312"/>
                              </w:trPr>
                              <w:tc>
                                <w:tcPr>
                                  <w:tcW w:w="5348" w:type="dxa"/>
                                </w:tcPr>
                                <w:p w14:paraId="7F0A49F7" w14:textId="69CF5C3A" w:rsidR="009207EC" w:rsidRDefault="009207EC" w:rsidP="00FC720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B65CC">
                                    <w:rPr>
                                      <w:b/>
                                    </w:rPr>
                                    <w:t>Total balance</w:t>
                                  </w:r>
                                </w:p>
                                <w:p w14:paraId="29B6E113" w14:textId="77777777" w:rsidR="00FC7202" w:rsidRPr="00AB65CC" w:rsidRDefault="00FC7202" w:rsidP="00FC720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67E571EA" w14:textId="77777777" w:rsidR="009207EC" w:rsidRDefault="009207EC"/>
                              </w:tc>
                            </w:tr>
                          </w:tbl>
                          <w:p w14:paraId="5F348DE2" w14:textId="77777777" w:rsidR="009207EC" w:rsidRDefault="00920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7B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2.1pt;width:480.3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">
                <v:textbox>
                  <w:txbxContent>
                    <w:tbl>
                      <w:tblPr>
                        <w:tblStyle w:val="TableGrid"/>
                        <w:tblW w:w="9555" w:type="dxa"/>
                        <w:tblLook w:val="04A0" w:firstRow="1" w:lastRow="0" w:firstColumn="1" w:lastColumn="0" w:noHBand="0" w:noVBand="1"/>
                      </w:tblPr>
                      <w:tblGrid>
                        <w:gridCol w:w="5348"/>
                        <w:gridCol w:w="4207"/>
                      </w:tblGrid>
                      <w:tr w:rsidR="009207EC" w14:paraId="03C1CA72" w14:textId="77777777" w:rsidTr="00FC7202">
                        <w:trPr>
                          <w:trHeight w:val="294"/>
                        </w:trPr>
                        <w:tc>
                          <w:tcPr>
                            <w:tcW w:w="5348" w:type="dxa"/>
                          </w:tcPr>
                          <w:p w14:paraId="7DABDEB1" w14:textId="77777777" w:rsidR="009207EC" w:rsidRPr="00AB65CC" w:rsidRDefault="009207EC" w:rsidP="00FC72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65CC">
                              <w:rPr>
                                <w:b/>
                              </w:rPr>
                              <w:t>Current account</w:t>
                            </w:r>
                          </w:p>
                        </w:tc>
                        <w:tc>
                          <w:tcPr>
                            <w:tcW w:w="4207" w:type="dxa"/>
                          </w:tcPr>
                          <w:p w14:paraId="458B156D" w14:textId="77777777" w:rsidR="009207EC" w:rsidRDefault="009207EC" w:rsidP="00FC7202">
                            <w:pPr>
                              <w:jc w:val="center"/>
                            </w:pPr>
                            <w:r>
                              <w:t>£</w:t>
                            </w:r>
                            <w:r w:rsidRPr="00AB65CC">
                              <w:rPr>
                                <w:b/>
                              </w:rPr>
                              <w:t>bn</w:t>
                            </w:r>
                          </w:p>
                        </w:tc>
                      </w:tr>
                      <w:tr w:rsidR="009207EC" w14:paraId="5844BD91" w14:textId="77777777" w:rsidTr="00FC7202">
                        <w:trPr>
                          <w:trHeight w:val="312"/>
                        </w:trPr>
                        <w:tc>
                          <w:tcPr>
                            <w:tcW w:w="5348" w:type="dxa"/>
                          </w:tcPr>
                          <w:p w14:paraId="3C8034B5" w14:textId="5BF1ED7D" w:rsidR="009207EC" w:rsidRDefault="009207EC" w:rsidP="00FC7202">
                            <w:pPr>
                              <w:jc w:val="center"/>
                            </w:pPr>
                            <w:r>
                              <w:t>Total exports of goods</w:t>
                            </w:r>
                          </w:p>
                        </w:tc>
                        <w:tc>
                          <w:tcPr>
                            <w:tcW w:w="4207" w:type="dxa"/>
                          </w:tcPr>
                          <w:p w14:paraId="1D72CD90" w14:textId="17C2DD32" w:rsidR="009207EC" w:rsidRDefault="009207EC" w:rsidP="00FC7202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</w:tr>
                      <w:tr w:rsidR="009207EC" w14:paraId="16CF56D4" w14:textId="77777777" w:rsidTr="00FC7202">
                        <w:trPr>
                          <w:trHeight w:val="294"/>
                        </w:trPr>
                        <w:tc>
                          <w:tcPr>
                            <w:tcW w:w="5348" w:type="dxa"/>
                          </w:tcPr>
                          <w:p w14:paraId="60293C9D" w14:textId="6B30C3AD" w:rsidR="009207EC" w:rsidRDefault="009207EC" w:rsidP="00FC7202">
                            <w:pPr>
                              <w:jc w:val="center"/>
                            </w:pPr>
                            <w:r>
                              <w:t>Total imports of goods</w:t>
                            </w:r>
                          </w:p>
                        </w:tc>
                        <w:tc>
                          <w:tcPr>
                            <w:tcW w:w="4207" w:type="dxa"/>
                          </w:tcPr>
                          <w:p w14:paraId="2907442E" w14:textId="3D1A88F8" w:rsidR="009207EC" w:rsidRDefault="00FC7202" w:rsidP="00FC7202">
                            <w:pPr>
                              <w:jc w:val="center"/>
                            </w:pPr>
                            <w:r>
                              <w:t>70</w:t>
                            </w:r>
                          </w:p>
                        </w:tc>
                      </w:tr>
                      <w:tr w:rsidR="009207EC" w14:paraId="1BA3B555" w14:textId="77777777" w:rsidTr="00FC7202">
                        <w:trPr>
                          <w:trHeight w:val="312"/>
                        </w:trPr>
                        <w:tc>
                          <w:tcPr>
                            <w:tcW w:w="5348" w:type="dxa"/>
                          </w:tcPr>
                          <w:p w14:paraId="2B42CCBF" w14:textId="77777777" w:rsidR="009207EC" w:rsidRDefault="009207EC" w:rsidP="00FC7202">
                            <w:pPr>
                              <w:jc w:val="center"/>
                            </w:pPr>
                            <w:r>
                              <w:t>Total exports of services</w:t>
                            </w:r>
                          </w:p>
                        </w:tc>
                        <w:tc>
                          <w:tcPr>
                            <w:tcW w:w="4207" w:type="dxa"/>
                          </w:tcPr>
                          <w:p w14:paraId="3CB58B09" w14:textId="5C05F36D" w:rsidR="009207EC" w:rsidRDefault="009207EC" w:rsidP="00FC7202">
                            <w:pPr>
                              <w:jc w:val="center"/>
                            </w:pPr>
                            <w:r>
                              <w:t>90</w:t>
                            </w:r>
                          </w:p>
                        </w:tc>
                      </w:tr>
                      <w:tr w:rsidR="00FC7202" w14:paraId="7FBD68DF" w14:textId="77777777" w:rsidTr="00FC7202">
                        <w:trPr>
                          <w:trHeight w:val="312"/>
                        </w:trPr>
                        <w:tc>
                          <w:tcPr>
                            <w:tcW w:w="5348" w:type="dxa"/>
                          </w:tcPr>
                          <w:p w14:paraId="52B5017E" w14:textId="206D2F78" w:rsidR="00FC7202" w:rsidRDefault="00FC7202" w:rsidP="00FC7202">
                            <w:pPr>
                              <w:jc w:val="center"/>
                            </w:pPr>
                            <w:r>
                              <w:t>Total imports of services</w:t>
                            </w:r>
                          </w:p>
                        </w:tc>
                        <w:tc>
                          <w:tcPr>
                            <w:tcW w:w="4207" w:type="dxa"/>
                          </w:tcPr>
                          <w:p w14:paraId="05072FB2" w14:textId="3E0573E0" w:rsidR="00FC7202" w:rsidRDefault="00FC7202" w:rsidP="00FC7202">
                            <w:pPr>
                              <w:jc w:val="center"/>
                            </w:pPr>
                            <w:r>
                              <w:t>80</w:t>
                            </w:r>
                          </w:p>
                        </w:tc>
                      </w:tr>
                      <w:tr w:rsidR="009207EC" w14:paraId="6E6B0EDD" w14:textId="77777777" w:rsidTr="00FC7202">
                        <w:trPr>
                          <w:trHeight w:val="294"/>
                        </w:trPr>
                        <w:tc>
                          <w:tcPr>
                            <w:tcW w:w="5348" w:type="dxa"/>
                          </w:tcPr>
                          <w:p w14:paraId="72704848" w14:textId="77777777" w:rsidR="009207EC" w:rsidRDefault="009207EC" w:rsidP="00FC7202">
                            <w:pPr>
                              <w:jc w:val="center"/>
                            </w:pPr>
                            <w:r>
                              <w:t>Transfers to EU</w:t>
                            </w:r>
                          </w:p>
                        </w:tc>
                        <w:tc>
                          <w:tcPr>
                            <w:tcW w:w="4207" w:type="dxa"/>
                          </w:tcPr>
                          <w:p w14:paraId="5891DA28" w14:textId="77777777" w:rsidR="009207EC" w:rsidRDefault="009207EC" w:rsidP="00FC7202">
                            <w:pPr>
                              <w:jc w:val="center"/>
                            </w:pPr>
                            <w:r>
                              <w:t>£2</w:t>
                            </w:r>
                          </w:p>
                        </w:tc>
                      </w:tr>
                      <w:tr w:rsidR="009207EC" w14:paraId="6494335C" w14:textId="77777777" w:rsidTr="00FC7202">
                        <w:trPr>
                          <w:trHeight w:val="312"/>
                        </w:trPr>
                        <w:tc>
                          <w:tcPr>
                            <w:tcW w:w="5348" w:type="dxa"/>
                          </w:tcPr>
                          <w:p w14:paraId="1C26286D" w14:textId="48CFB9EF" w:rsidR="009207EC" w:rsidRDefault="009207EC" w:rsidP="00FC7202">
                            <w:pPr>
                              <w:jc w:val="center"/>
                            </w:pPr>
                            <w:r>
                              <w:t>Transfers to the UK</w:t>
                            </w:r>
                          </w:p>
                        </w:tc>
                        <w:tc>
                          <w:tcPr>
                            <w:tcW w:w="4207" w:type="dxa"/>
                          </w:tcPr>
                          <w:p w14:paraId="7EE9A60D" w14:textId="77777777" w:rsidR="009207EC" w:rsidRDefault="009207EC" w:rsidP="00FC7202">
                            <w:pPr>
                              <w:jc w:val="center"/>
                            </w:pPr>
                            <w:r>
                              <w:t>£1</w:t>
                            </w:r>
                          </w:p>
                        </w:tc>
                      </w:tr>
                      <w:tr w:rsidR="009207EC" w14:paraId="46BAC74F" w14:textId="77777777" w:rsidTr="00FC7202">
                        <w:trPr>
                          <w:trHeight w:val="312"/>
                        </w:trPr>
                        <w:tc>
                          <w:tcPr>
                            <w:tcW w:w="5348" w:type="dxa"/>
                          </w:tcPr>
                          <w:p w14:paraId="24834D54" w14:textId="641CE9DA" w:rsidR="009207EC" w:rsidRDefault="009207EC" w:rsidP="00FC7202">
                            <w:pPr>
                              <w:jc w:val="center"/>
                            </w:pPr>
                            <w:r>
                              <w:t>Investment flow out of the UK</w:t>
                            </w:r>
                          </w:p>
                        </w:tc>
                        <w:tc>
                          <w:tcPr>
                            <w:tcW w:w="4207" w:type="dxa"/>
                          </w:tcPr>
                          <w:p w14:paraId="5C3A617C" w14:textId="77777777" w:rsidR="009207EC" w:rsidRDefault="009207EC" w:rsidP="00FC7202">
                            <w:pPr>
                              <w:jc w:val="center"/>
                            </w:pPr>
                            <w:r>
                              <w:t>£10</w:t>
                            </w:r>
                          </w:p>
                        </w:tc>
                      </w:tr>
                      <w:tr w:rsidR="009207EC" w14:paraId="154F9940" w14:textId="77777777" w:rsidTr="00FC7202">
                        <w:trPr>
                          <w:trHeight w:val="294"/>
                        </w:trPr>
                        <w:tc>
                          <w:tcPr>
                            <w:tcW w:w="5348" w:type="dxa"/>
                          </w:tcPr>
                          <w:p w14:paraId="067D05CF" w14:textId="77777777" w:rsidR="009207EC" w:rsidRDefault="009207EC" w:rsidP="00FC7202">
                            <w:pPr>
                              <w:jc w:val="center"/>
                            </w:pPr>
                            <w:r>
                              <w:t>Investment flow into the UK</w:t>
                            </w:r>
                          </w:p>
                        </w:tc>
                        <w:tc>
                          <w:tcPr>
                            <w:tcW w:w="4207" w:type="dxa"/>
                          </w:tcPr>
                          <w:p w14:paraId="05547D17" w14:textId="77777777" w:rsidR="009207EC" w:rsidRDefault="009207EC" w:rsidP="00FC7202">
                            <w:pPr>
                              <w:jc w:val="center"/>
                            </w:pPr>
                            <w:r>
                              <w:t>£8</w:t>
                            </w:r>
                          </w:p>
                        </w:tc>
                      </w:tr>
                      <w:tr w:rsidR="009207EC" w14:paraId="684FF9F1" w14:textId="77777777" w:rsidTr="00FC7202">
                        <w:trPr>
                          <w:trHeight w:val="312"/>
                        </w:trPr>
                        <w:tc>
                          <w:tcPr>
                            <w:tcW w:w="5348" w:type="dxa"/>
                          </w:tcPr>
                          <w:p w14:paraId="7F0A49F7" w14:textId="69CF5C3A" w:rsidR="009207EC" w:rsidRDefault="009207EC" w:rsidP="00FC72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65CC">
                              <w:rPr>
                                <w:b/>
                              </w:rPr>
                              <w:t>Total balance</w:t>
                            </w:r>
                          </w:p>
                          <w:p w14:paraId="29B6E113" w14:textId="77777777" w:rsidR="00FC7202" w:rsidRPr="00AB65CC" w:rsidRDefault="00FC7202" w:rsidP="00FC7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7" w:type="dxa"/>
                          </w:tcPr>
                          <w:p w14:paraId="67E571EA" w14:textId="77777777" w:rsidR="009207EC" w:rsidRDefault="009207EC"/>
                        </w:tc>
                      </w:tr>
                    </w:tbl>
                    <w:p w14:paraId="5F348DE2" w14:textId="77777777" w:rsidR="009207EC" w:rsidRDefault="009207EC"/>
                  </w:txbxContent>
                </v:textbox>
              </v:shape>
            </w:pict>
          </mc:Fallback>
        </mc:AlternateContent>
      </w:r>
      <w:r w:rsidR="009207EC">
        <w:rPr>
          <w:rFonts w:eastAsia="MS PGothic" w:hAnsi="Arial"/>
          <w:b/>
          <w:color w:val="000000" w:themeColor="text1"/>
          <w:lang w:eastAsia="en-GB"/>
        </w:rPr>
        <w:t xml:space="preserve">Activity </w:t>
      </w:r>
      <w:r w:rsidR="004937BF">
        <w:rPr>
          <w:rFonts w:eastAsia="MS PGothic" w:hAnsi="Arial"/>
          <w:b/>
          <w:color w:val="000000" w:themeColor="text1"/>
          <w:lang w:eastAsia="en-GB"/>
        </w:rPr>
        <w:t>2</w:t>
      </w:r>
      <w:r w:rsidR="00E32A01">
        <w:rPr>
          <w:rFonts w:eastAsia="MS PGothic" w:hAnsi="Arial"/>
          <w:color w:val="000000" w:themeColor="text1"/>
          <w:lang w:eastAsia="en-GB"/>
        </w:rPr>
        <w:t>: Calculate t</w:t>
      </w:r>
      <w:r w:rsidR="009207EC">
        <w:rPr>
          <w:rFonts w:eastAsia="MS PGothic" w:hAnsi="Arial"/>
          <w:color w:val="000000" w:themeColor="text1"/>
          <w:lang w:eastAsia="en-GB"/>
        </w:rPr>
        <w:t>he Current account balance</w:t>
      </w:r>
      <w:r w:rsidR="00E32A01">
        <w:rPr>
          <w:rFonts w:eastAsia="MS PGothic" w:hAnsi="Arial"/>
          <w:color w:val="000000" w:themeColor="text1"/>
          <w:lang w:eastAsia="en-GB"/>
        </w:rPr>
        <w:t>:</w:t>
      </w:r>
    </w:p>
    <w:p w14:paraId="1458FC57" w14:textId="50765B12" w:rsidR="00E32A01" w:rsidRDefault="00E32A01" w:rsidP="00D17FA2">
      <w:pPr>
        <w:spacing w:after="0" w:line="192" w:lineRule="auto"/>
        <w:contextualSpacing/>
        <w:textAlignment w:val="baseline"/>
        <w:rPr>
          <w:rFonts w:eastAsia="MS PGothic" w:hAnsi="Arial"/>
          <w:color w:val="000000" w:themeColor="text1"/>
          <w:lang w:eastAsia="en-GB"/>
        </w:rPr>
      </w:pPr>
    </w:p>
    <w:p w14:paraId="34D55286" w14:textId="77777777" w:rsidR="00D17FA2" w:rsidRDefault="00D17FA2" w:rsidP="00D17FA2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</w:p>
    <w:p w14:paraId="76CBAC01" w14:textId="77777777" w:rsidR="00D17FA2" w:rsidRPr="00D17FA2" w:rsidRDefault="00D17FA2" w:rsidP="00D17FA2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</w:p>
    <w:p w14:paraId="7E928D95" w14:textId="77777777" w:rsidR="00AB65CC" w:rsidRDefault="00AB65CC" w:rsidP="00E1596E"/>
    <w:p w14:paraId="574E8AA2" w14:textId="77777777" w:rsidR="00AB65CC" w:rsidRDefault="00AB65CC" w:rsidP="00E1596E"/>
    <w:p w14:paraId="7B294C47" w14:textId="77777777" w:rsidR="00AB65CC" w:rsidRDefault="00AB65CC" w:rsidP="00E1596E"/>
    <w:p w14:paraId="7A60416A" w14:textId="77777777" w:rsidR="00AB65CC" w:rsidRDefault="00AB65CC" w:rsidP="00E1596E"/>
    <w:p w14:paraId="59BA8900" w14:textId="77777777" w:rsidR="00AB65CC" w:rsidRDefault="00AB65CC" w:rsidP="00E1596E"/>
    <w:p w14:paraId="3A745B16" w14:textId="77777777" w:rsidR="004937BF" w:rsidRDefault="004937BF" w:rsidP="009207EC">
      <w:pPr>
        <w:rPr>
          <w:b/>
        </w:rPr>
      </w:pPr>
    </w:p>
    <w:p w14:paraId="1CD72D31" w14:textId="77777777" w:rsidR="009207EC" w:rsidRDefault="004937BF" w:rsidP="009207EC">
      <w:r>
        <w:rPr>
          <w:b/>
        </w:rPr>
        <w:lastRenderedPageBreak/>
        <w:t>Activity 3</w:t>
      </w:r>
      <w:r w:rsidR="009207EC">
        <w:rPr>
          <w:b/>
        </w:rPr>
        <w:t xml:space="preserve">: </w:t>
      </w:r>
      <w:r w:rsidR="009207EC">
        <w:t>Decide which of the following statements are true and which are false.</w:t>
      </w:r>
    </w:p>
    <w:p w14:paraId="05ED6E3F" w14:textId="77777777" w:rsidR="009207EC" w:rsidRPr="00104640" w:rsidRDefault="009207EC" w:rsidP="009207EC">
      <w:pPr>
        <w:pStyle w:val="ListParagraph"/>
        <w:numPr>
          <w:ilvl w:val="0"/>
          <w:numId w:val="5"/>
        </w:numPr>
      </w:pPr>
      <w:r w:rsidRPr="00104640">
        <w:t>A rise in the level of UK national income means that UK citizens will buy more imports (T/F)</w:t>
      </w:r>
    </w:p>
    <w:p w14:paraId="00AB1845" w14:textId="72AF7A85" w:rsidR="009207EC" w:rsidRPr="00104640" w:rsidRDefault="0064579F" w:rsidP="009207EC">
      <w:pPr>
        <w:pStyle w:val="ListParagraph"/>
        <w:numPr>
          <w:ilvl w:val="0"/>
          <w:numId w:val="5"/>
        </w:numPr>
      </w:pPr>
      <w:r>
        <w:t>The current account and the b</w:t>
      </w:r>
      <w:r w:rsidR="009207EC" w:rsidRPr="00104640">
        <w:t>alance of payments are the same thing (T/F)</w:t>
      </w:r>
    </w:p>
    <w:p w14:paraId="3ECEB714" w14:textId="45E59747" w:rsidR="009207EC" w:rsidRPr="00104640" w:rsidRDefault="009207EC" w:rsidP="009207EC">
      <w:pPr>
        <w:pStyle w:val="ListParagraph"/>
        <w:numPr>
          <w:ilvl w:val="0"/>
          <w:numId w:val="5"/>
        </w:numPr>
      </w:pPr>
      <w:r w:rsidRPr="00104640">
        <w:t>If the value of sterling falls</w:t>
      </w:r>
      <w:r w:rsidR="0064579F">
        <w:t>, the UK will gain more revenue from</w:t>
      </w:r>
      <w:r w:rsidRPr="00104640">
        <w:t xml:space="preserve"> exports.(T/F).</w:t>
      </w:r>
    </w:p>
    <w:p w14:paraId="1B5253F5" w14:textId="34599710" w:rsidR="009207EC" w:rsidRPr="00104640" w:rsidRDefault="009207EC" w:rsidP="009207EC">
      <w:pPr>
        <w:pStyle w:val="ListParagraph"/>
        <w:numPr>
          <w:ilvl w:val="0"/>
          <w:numId w:val="5"/>
        </w:numPr>
      </w:pPr>
      <w:r w:rsidRPr="00104640">
        <w:t>If the US government decide to offer subsidies to its firms then the amount of US</w:t>
      </w:r>
      <w:r w:rsidR="0064579F">
        <w:t xml:space="preserve"> exprts</w:t>
      </w:r>
      <w:r w:rsidRPr="00104640">
        <w:t xml:space="preserve"> into the UK will rise. (T/F)</w:t>
      </w:r>
    </w:p>
    <w:p w14:paraId="406BAD34" w14:textId="77777777" w:rsidR="009207EC" w:rsidRPr="00104640" w:rsidRDefault="009207EC" w:rsidP="009207EC">
      <w:pPr>
        <w:pStyle w:val="ListParagraph"/>
        <w:numPr>
          <w:ilvl w:val="0"/>
          <w:numId w:val="5"/>
        </w:numPr>
      </w:pPr>
      <w:r w:rsidRPr="00104640">
        <w:t>If the rate of inflation in the UK falls faster than those of our major trading partners the volume of UK exports will rise. (T/F)</w:t>
      </w:r>
    </w:p>
    <w:p w14:paraId="7DE07D80" w14:textId="77777777" w:rsidR="009207EC" w:rsidRPr="00104640" w:rsidRDefault="009207EC" w:rsidP="009207EC">
      <w:pPr>
        <w:pStyle w:val="ListParagraph"/>
        <w:numPr>
          <w:ilvl w:val="0"/>
          <w:numId w:val="5"/>
        </w:numPr>
      </w:pPr>
      <w:r w:rsidRPr="00104640">
        <w:t>Following a rise in Germany productivity, all things being equal, the volume of its exports will rise. (T/F)</w:t>
      </w:r>
    </w:p>
    <w:p w14:paraId="283BA0FF" w14:textId="77777777" w:rsidR="009207EC" w:rsidRPr="00104640" w:rsidRDefault="009207EC" w:rsidP="009207EC">
      <w:pPr>
        <w:pStyle w:val="ListParagraph"/>
        <w:numPr>
          <w:ilvl w:val="0"/>
          <w:numId w:val="5"/>
        </w:numPr>
      </w:pPr>
      <w:r w:rsidRPr="00104640">
        <w:t>Following a rise in the level of National income in our major trading partners, all things being equal we should expect an increase in UK exports.(T/F)</w:t>
      </w:r>
    </w:p>
    <w:p w14:paraId="129C161B" w14:textId="17D42D43" w:rsidR="009207EC" w:rsidRPr="00104640" w:rsidRDefault="009207EC" w:rsidP="009207EC">
      <w:pPr>
        <w:pStyle w:val="ListParagraph"/>
        <w:numPr>
          <w:ilvl w:val="0"/>
          <w:numId w:val="5"/>
        </w:numPr>
      </w:pPr>
      <w:r w:rsidRPr="00104640">
        <w:t>A rise in the value of the p</w:t>
      </w:r>
      <w:r w:rsidR="0064579F">
        <w:t xml:space="preserve">ound against other currencies, </w:t>
      </w:r>
      <w:r w:rsidRPr="00104640">
        <w:t>will usually mean that the UK will import more goods from overseas. (T/F)</w:t>
      </w:r>
    </w:p>
    <w:p w14:paraId="0908B785" w14:textId="3B94B29B" w:rsidR="009207EC" w:rsidRPr="00104640" w:rsidRDefault="0064579F" w:rsidP="009207EC">
      <w:pPr>
        <w:pStyle w:val="ListParagraph"/>
        <w:numPr>
          <w:ilvl w:val="0"/>
          <w:numId w:val="5"/>
        </w:numPr>
      </w:pPr>
      <w:r>
        <w:t xml:space="preserve"> Net transfers </w:t>
      </w:r>
      <w:r w:rsidR="009207EC" w:rsidRPr="00104640">
        <w:t>refers to that part of the current account where dividends, interest and profits are recorded. (T/F)</w:t>
      </w:r>
    </w:p>
    <w:p w14:paraId="2E751527" w14:textId="77777777" w:rsidR="00E1596E" w:rsidRDefault="009207EC" w:rsidP="00E1596E">
      <w:pPr>
        <w:pStyle w:val="ListParagraph"/>
        <w:numPr>
          <w:ilvl w:val="0"/>
          <w:numId w:val="5"/>
        </w:numPr>
      </w:pPr>
      <w:r w:rsidRPr="00104640">
        <w:t xml:space="preserve"> If the value of the Euro rises against sterling, the level of UK exports to Eurozone countries will rise. (T/F)</w:t>
      </w:r>
    </w:p>
    <w:p w14:paraId="5CB9369C" w14:textId="77777777" w:rsidR="0084050B" w:rsidRDefault="0084050B" w:rsidP="00E1596E"/>
    <w:p w14:paraId="4870D66A" w14:textId="77777777" w:rsidR="0084050B" w:rsidRPr="00FC7202" w:rsidRDefault="0084050B" w:rsidP="00E1596E">
      <w:pPr>
        <w:rPr>
          <w:b/>
        </w:rPr>
      </w:pPr>
      <w:r w:rsidRPr="00FC7202">
        <w:rPr>
          <w:b/>
        </w:rPr>
        <w:t>Plenary</w:t>
      </w:r>
    </w:p>
    <w:p w14:paraId="2BDE6EE2" w14:textId="531210FC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FC7202">
        <w:rPr>
          <w:rFonts w:asciiTheme="minorHAnsi" w:eastAsia="MS PGothic" w:hAnsi="Arial" w:cstheme="minorBidi"/>
          <w:b/>
          <w:color w:val="000000" w:themeColor="text1"/>
          <w:sz w:val="22"/>
          <w:szCs w:val="22"/>
          <w:lang w:val="en-US"/>
        </w:rPr>
        <w:t>1.</w:t>
      </w:r>
      <w:r w:rsidR="00FC7202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 xml:space="preserve">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The current account of the balance of payments comprises</w:t>
      </w:r>
    </w:p>
    <w:p w14:paraId="0F50ADCB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A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all government income and expenditure in a financial year.</w:t>
      </w:r>
    </w:p>
    <w:p w14:paraId="2528087C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B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money that may be withdrawn at any time.</w:t>
      </w:r>
    </w:p>
    <w:p w14:paraId="0BDA3852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C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trade in goods and services, investment income and transfers.</w:t>
      </w:r>
    </w:p>
    <w:p w14:paraId="4DAF48E7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D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all transactions involving money leaving or entering the country.</w:t>
      </w:r>
    </w:p>
    <w:p w14:paraId="588C98B6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</w:p>
    <w:p w14:paraId="24CB734F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FC7202">
        <w:rPr>
          <w:rFonts w:asciiTheme="minorHAnsi" w:eastAsia="MS PGothic" w:hAnsi="Arial" w:cstheme="minorBidi"/>
          <w:b/>
          <w:color w:val="000000" w:themeColor="text1"/>
          <w:sz w:val="22"/>
          <w:szCs w:val="22"/>
          <w:lang w:val="en-US"/>
        </w:rPr>
        <w:t>2.</w:t>
      </w: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All other things being equal, which one of the following is most likely to lead to an increase in the size of the UK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’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s current account deficit on the balance of payments?</w:t>
      </w:r>
    </w:p>
    <w:p w14:paraId="2C135479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A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A fall in the exchange rate</w:t>
      </w:r>
    </w:p>
    <w:p w14:paraId="7C9C7753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B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A fall in consumer spending</w:t>
      </w:r>
    </w:p>
    <w:p w14:paraId="199AB566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C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A reduction in income tax rates</w:t>
      </w:r>
    </w:p>
    <w:p w14:paraId="5F2DC279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D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A fall in the rate of inflation</w:t>
      </w:r>
    </w:p>
    <w:p w14:paraId="798A938A" w14:textId="77777777" w:rsidR="0084050B" w:rsidRDefault="0084050B" w:rsidP="00E1596E"/>
    <w:p w14:paraId="544B1170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3.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All other things being equal, which one of the following situations is most likely to lead to a deterioration in the UK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’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 xml:space="preserve">s balance of payments on current account?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</w:rPr>
        <w:t>A fall in</w:t>
      </w:r>
    </w:p>
    <w:p w14:paraId="5EE8DCB6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A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UK inflation relative to the rest of the world</w:t>
      </w:r>
    </w:p>
    <w:p w14:paraId="266828F5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B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UK labor productivity relative to the rest of the world</w:t>
      </w:r>
    </w:p>
    <w:p w14:paraId="04F7F5A1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C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The exchange rate of the pound</w:t>
      </w:r>
    </w:p>
    <w:p w14:paraId="3796E4ED" w14:textId="77777777" w:rsid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D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incomes in the UK</w:t>
      </w:r>
    </w:p>
    <w:p w14:paraId="32D91DDB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</w:p>
    <w:p w14:paraId="4E5B3885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FC7202">
        <w:rPr>
          <w:rFonts w:asciiTheme="minorHAnsi" w:eastAsia="MS PGothic" w:hAnsi="Arial" w:cstheme="minorBidi"/>
          <w:b/>
          <w:color w:val="000000" w:themeColor="text1"/>
          <w:sz w:val="22"/>
          <w:szCs w:val="22"/>
          <w:lang w:val="en-US"/>
        </w:rPr>
        <w:t>4.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 xml:space="preserve"> The annual rate of inflation in the UK falls from 5 per cent to 2 per cent but the annual rate of inflation in the UK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’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s main trading partners remains at 5 per cent. As a result, all other things being equal, it is likely that in the long term</w:t>
      </w:r>
    </w:p>
    <w:p w14:paraId="1C94179E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A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UK exports will increase.</w:t>
      </w:r>
    </w:p>
    <w:p w14:paraId="785ABEF1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B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UK imports will increase.</w:t>
      </w:r>
    </w:p>
    <w:p w14:paraId="4C5C2CBE" w14:textId="77777777" w:rsidR="0084050B" w:rsidRPr="0084050B" w:rsidRDefault="0084050B" w:rsidP="0084050B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C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the UK current account balance will deteriorate.</w:t>
      </w:r>
    </w:p>
    <w:p w14:paraId="73959F28" w14:textId="44A6DD66" w:rsidR="00E1596E" w:rsidRPr="0064579F" w:rsidRDefault="0084050B" w:rsidP="0064579F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2"/>
          <w:szCs w:val="22"/>
        </w:rPr>
      </w:pPr>
      <w:r w:rsidRPr="0084050B">
        <w:rPr>
          <w:rFonts w:asciiTheme="minorHAnsi" w:eastAsia="MS PGothic" w:hAnsi="Arial" w:cstheme="minorBidi"/>
          <w:b/>
          <w:bCs/>
          <w:color w:val="000000" w:themeColor="text1"/>
          <w:sz w:val="22"/>
          <w:szCs w:val="22"/>
          <w:lang w:val="en-US"/>
        </w:rPr>
        <w:t xml:space="preserve">D </w:t>
      </w:r>
      <w:r w:rsidRPr="0084050B">
        <w:rPr>
          <w:rFonts w:asciiTheme="minorHAnsi" w:eastAsia="MS PGothic" w:hAnsi="Arial" w:cstheme="minorBidi"/>
          <w:color w:val="000000" w:themeColor="text1"/>
          <w:sz w:val="22"/>
          <w:szCs w:val="22"/>
          <w:lang w:val="en-US"/>
        </w:rPr>
        <w:t>withdrawals from the UK circular flow of income will increase.</w:t>
      </w:r>
      <w:bookmarkStart w:id="0" w:name="_GoBack"/>
      <w:bookmarkEnd w:id="0"/>
    </w:p>
    <w:sectPr w:rsidR="00E1596E" w:rsidRPr="0064579F" w:rsidSect="000A2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2310"/>
    <w:multiLevelType w:val="hybridMultilevel"/>
    <w:tmpl w:val="D4E28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BA2"/>
    <w:multiLevelType w:val="hybridMultilevel"/>
    <w:tmpl w:val="0700EA9A"/>
    <w:lvl w:ilvl="0" w:tplc="A1583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24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480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6F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E3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41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300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2D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2A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727B8"/>
    <w:multiLevelType w:val="hybridMultilevel"/>
    <w:tmpl w:val="D4C40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E22AE"/>
    <w:multiLevelType w:val="hybridMultilevel"/>
    <w:tmpl w:val="1F50C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685D"/>
    <w:multiLevelType w:val="hybridMultilevel"/>
    <w:tmpl w:val="03A2C96C"/>
    <w:lvl w:ilvl="0" w:tplc="B63A73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5BCDFB4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7FCC1A54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57E6741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7A0ACDE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620AB8F0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674C23CC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8CD06980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ECDA15C6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6E"/>
    <w:rsid w:val="000934E3"/>
    <w:rsid w:val="000A2F52"/>
    <w:rsid w:val="00163119"/>
    <w:rsid w:val="00375B19"/>
    <w:rsid w:val="004937BF"/>
    <w:rsid w:val="004F60F1"/>
    <w:rsid w:val="00510B9D"/>
    <w:rsid w:val="0064579F"/>
    <w:rsid w:val="0084050B"/>
    <w:rsid w:val="009207EC"/>
    <w:rsid w:val="00A9763A"/>
    <w:rsid w:val="00AB65CC"/>
    <w:rsid w:val="00B97691"/>
    <w:rsid w:val="00D17FA2"/>
    <w:rsid w:val="00E1596E"/>
    <w:rsid w:val="00E32A01"/>
    <w:rsid w:val="00E36FF2"/>
    <w:rsid w:val="00F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51648"/>
  <w15:docId w15:val="{F0AC33F1-4248-4258-8BBB-464946D6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5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159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2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43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32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2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97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9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65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6884-B4EA-475C-828A-49D0914C3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F4022-5769-47FD-A0A2-1A78CCD3D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C6EF6-A62A-4E67-A484-87B785EB625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AEC147-A7E3-4D86-BFAB-6645A0D9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97385903</Template>
  <TotalTime>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BHASVIC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Dyson</cp:lastModifiedBy>
  <cp:revision>3</cp:revision>
  <cp:lastPrinted>2016-02-04T07:51:00Z</cp:lastPrinted>
  <dcterms:created xsi:type="dcterms:W3CDTF">2016-02-04T07:52:00Z</dcterms:created>
  <dcterms:modified xsi:type="dcterms:W3CDTF">2016-02-04T08:15:00Z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