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1A3D6" w14:textId="77777777" w:rsidR="00E104D2" w:rsidRPr="00E104D2" w:rsidRDefault="00E104D2" w:rsidP="00E104D2">
      <w:pPr>
        <w:shd w:val="clear" w:color="auto" w:fill="000000" w:themeFill="text1"/>
        <w:tabs>
          <w:tab w:val="left" w:pos="6237"/>
        </w:tabs>
        <w:ind w:left="-851"/>
        <w:rPr>
          <w:color w:val="FFFFFF" w:themeColor="background1"/>
          <w:sz w:val="28"/>
        </w:rPr>
      </w:pPr>
      <w:bookmarkStart w:id="0" w:name="_GoBack"/>
      <w:bookmarkEnd w:id="0"/>
      <w:r w:rsidRPr="00E104D2">
        <w:rPr>
          <w:rFonts w:ascii="Times New Roman" w:hAnsi="Times New Roman" w:cs="Times New Roman"/>
          <w:b/>
          <w:color w:val="FFFFFF" w:themeColor="background1"/>
          <w:sz w:val="28"/>
        </w:rPr>
        <w:t>English Romantic Verse</w:t>
      </w:r>
      <w:r w:rsidRPr="00E104D2">
        <w:rPr>
          <w:color w:val="FFFFFF" w:themeColor="background1"/>
          <w:sz w:val="28"/>
        </w:rPr>
        <w:t xml:space="preserve">                                               One-Page Guides</w:t>
      </w:r>
    </w:p>
    <w:p w14:paraId="1176FD32" w14:textId="7F5CEFC0" w:rsidR="00E104D2" w:rsidRDefault="00E104D2" w:rsidP="00E104D2">
      <w:pPr>
        <w:tabs>
          <w:tab w:val="left" w:pos="6237"/>
        </w:tabs>
        <w:ind w:left="-851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FB4A373" wp14:editId="1FEF1CE4">
            <wp:simplePos x="0" y="0"/>
            <wp:positionH relativeFrom="rightMargin">
              <wp:align>left</wp:align>
            </wp:positionH>
            <wp:positionV relativeFrom="paragraph">
              <wp:posOffset>193335</wp:posOffset>
            </wp:positionV>
            <wp:extent cx="571500" cy="93796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37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Poet</w:t>
      </w:r>
      <w:r w:rsidR="005238A4">
        <w:rPr>
          <w:b/>
        </w:rPr>
        <w:t xml:space="preserve">: Keats </w:t>
      </w:r>
    </w:p>
    <w:p w14:paraId="1CDC2056" w14:textId="69F5DFB7" w:rsidR="00E104D2" w:rsidRDefault="005238A4" w:rsidP="00E104D2">
      <w:pPr>
        <w:tabs>
          <w:tab w:val="left" w:pos="6237"/>
        </w:tabs>
        <w:ind w:left="-851"/>
      </w:pPr>
      <w:r>
        <w:t xml:space="preserve">Poem: Ode on a Grecian Urn </w:t>
      </w:r>
    </w:p>
    <w:tbl>
      <w:tblPr>
        <w:tblStyle w:val="TableGrid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7646"/>
      </w:tblGrid>
      <w:tr w:rsidR="00E104D2" w14:paraId="7124B90D" w14:textId="77777777" w:rsidTr="00E104D2">
        <w:tc>
          <w:tcPr>
            <w:tcW w:w="2127" w:type="dxa"/>
          </w:tcPr>
          <w:p w14:paraId="43D14D6C" w14:textId="77777777" w:rsidR="00F82FE3" w:rsidRPr="00893463" w:rsidRDefault="00F82FE3" w:rsidP="00AC7B3B">
            <w:pPr>
              <w:rPr>
                <w:sz w:val="16"/>
              </w:rPr>
            </w:pPr>
            <w:r>
              <w:t>Context (</w:t>
            </w:r>
            <w:r>
              <w:rPr>
                <w:sz w:val="16"/>
              </w:rPr>
              <w:t>biographical, Romantic attitudes, social/historical etc)</w:t>
            </w:r>
            <w:r w:rsidR="00E104D2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7745" w:type="dxa"/>
          </w:tcPr>
          <w:p w14:paraId="2891C1B2" w14:textId="5621522F" w:rsidR="009848E2" w:rsidRDefault="009848E2" w:rsidP="00AC7B3B">
            <w:r>
              <w:t xml:space="preserve">Written in April 1819 during a painful time in Keats’ life where he suffered from health and financial troubles and the deaths of family members. </w:t>
            </w:r>
          </w:p>
          <w:p w14:paraId="6456CDDE" w14:textId="25FF50C5" w:rsidR="00F82FE3" w:rsidRDefault="009848E2" w:rsidP="00AC7B3B">
            <w:r>
              <w:t xml:space="preserve">He stated that it is </w:t>
            </w:r>
            <w:r w:rsidR="00BB1EDA">
              <w:t xml:space="preserve">“necessary a world of pain and troubles to school an intelligence and make it a soul” </w:t>
            </w:r>
          </w:p>
        </w:tc>
      </w:tr>
      <w:tr w:rsidR="00E104D2" w14:paraId="1C6B5107" w14:textId="77777777" w:rsidTr="00E104D2">
        <w:tc>
          <w:tcPr>
            <w:tcW w:w="2127" w:type="dxa"/>
          </w:tcPr>
          <w:p w14:paraId="28DC2E25" w14:textId="77777777" w:rsidR="00F82FE3" w:rsidRDefault="00F82FE3" w:rsidP="00AC7B3B">
            <w:r>
              <w:t>A poem about… (</w:t>
            </w:r>
            <w:r>
              <w:rPr>
                <w:sz w:val="18"/>
              </w:rPr>
              <w:t>Interpretations, k</w:t>
            </w:r>
            <w:r w:rsidRPr="00893463">
              <w:rPr>
                <w:sz w:val="18"/>
              </w:rPr>
              <w:t xml:space="preserve">ey </w:t>
            </w:r>
            <w:r>
              <w:rPr>
                <w:sz w:val="18"/>
              </w:rPr>
              <w:t>Romantic</w:t>
            </w:r>
            <w:r w:rsidRPr="00893463">
              <w:rPr>
                <w:sz w:val="18"/>
              </w:rPr>
              <w:t xml:space="preserve"> theme</w:t>
            </w:r>
            <w:r>
              <w:rPr>
                <w:sz w:val="18"/>
              </w:rPr>
              <w:t>s, nature, mortality)</w:t>
            </w:r>
          </w:p>
        </w:tc>
        <w:tc>
          <w:tcPr>
            <w:tcW w:w="7745" w:type="dxa"/>
          </w:tcPr>
          <w:p w14:paraId="76E280C4" w14:textId="2C27E523" w:rsidR="00EA5BE9" w:rsidRDefault="00C52FEE" w:rsidP="00AC7B3B">
            <w:r>
              <w:t xml:space="preserve">Immortality </w:t>
            </w:r>
            <w:r w:rsidR="00EA5BE9">
              <w:t>&amp; eternity</w:t>
            </w:r>
          </w:p>
          <w:p w14:paraId="1FD6F3A0" w14:textId="3C02404B" w:rsidR="00F82FE3" w:rsidRDefault="00EA5BE9" w:rsidP="00AC7B3B">
            <w:r>
              <w:t>Classical Gods and legends</w:t>
            </w:r>
          </w:p>
          <w:p w14:paraId="144CFFD8" w14:textId="5503CFFA" w:rsidR="00F82FE3" w:rsidRDefault="00EA5BE9" w:rsidP="00AC7B3B">
            <w:r>
              <w:t>Imagination vs reality</w:t>
            </w:r>
          </w:p>
          <w:p w14:paraId="68FFB637" w14:textId="2B9E6A34" w:rsidR="00F82FE3" w:rsidRDefault="00EA5BE9" w:rsidP="00AC7B3B">
            <w:r>
              <w:t>Pastoral bliss</w:t>
            </w:r>
          </w:p>
          <w:p w14:paraId="34FE5763" w14:textId="48CDB3B0" w:rsidR="00F82FE3" w:rsidRDefault="00EA5BE9" w:rsidP="00AC7B3B">
            <w:r>
              <w:t xml:space="preserve">Art and beauty </w:t>
            </w:r>
          </w:p>
        </w:tc>
      </w:tr>
      <w:tr w:rsidR="00F82FE3" w14:paraId="09344321" w14:textId="77777777" w:rsidTr="00E104D2">
        <w:tc>
          <w:tcPr>
            <w:tcW w:w="2127" w:type="dxa"/>
          </w:tcPr>
          <w:p w14:paraId="5C1027C6" w14:textId="77777777" w:rsidR="00F82FE3" w:rsidRDefault="00F82FE3" w:rsidP="00AC7B3B">
            <w:r>
              <w:t>Speaker (</w:t>
            </w:r>
            <w:r w:rsidRPr="00893463">
              <w:rPr>
                <w:sz w:val="16"/>
              </w:rPr>
              <w:t>who? talking to whom? attitude to subject- ironic, reverent etc</w:t>
            </w:r>
            <w:r>
              <w:t>)</w:t>
            </w:r>
          </w:p>
        </w:tc>
        <w:tc>
          <w:tcPr>
            <w:tcW w:w="7745" w:type="dxa"/>
          </w:tcPr>
          <w:p w14:paraId="72D2B38A" w14:textId="23DFED5A" w:rsidR="00F82FE3" w:rsidRDefault="005238A4" w:rsidP="00AC7B3B">
            <w:r>
              <w:t xml:space="preserve">Speaker talking to the Urn – ode </w:t>
            </w:r>
            <w:r w:rsidR="009848E2">
              <w:t>form</w:t>
            </w:r>
          </w:p>
          <w:p w14:paraId="2A690C82" w14:textId="3ACDA9E9" w:rsidR="004A6EE3" w:rsidRDefault="004A6EE3" w:rsidP="00AC7B3B">
            <w:r>
              <w:t>“thou” – classic pronoun used to address inferiors or loved ones</w:t>
            </w:r>
            <w:r w:rsidR="009848E2">
              <w:t xml:space="preserve">, in this case the Urn is being admired </w:t>
            </w:r>
          </w:p>
          <w:p w14:paraId="35EB1694" w14:textId="291017D2" w:rsidR="00F82FE3" w:rsidRDefault="00EA5BE9" w:rsidP="00AC7B3B">
            <w:r>
              <w:t xml:space="preserve">The vase captures the moment but the speaker’s imagination tells the story </w:t>
            </w:r>
          </w:p>
          <w:p w14:paraId="7A1B6D12" w14:textId="0D3637E8" w:rsidR="00F82FE3" w:rsidRDefault="00F82FE3" w:rsidP="00AC7B3B"/>
        </w:tc>
      </w:tr>
      <w:tr w:rsidR="00E104D2" w14:paraId="538F57FC" w14:textId="77777777" w:rsidTr="00E104D2">
        <w:tc>
          <w:tcPr>
            <w:tcW w:w="2127" w:type="dxa"/>
          </w:tcPr>
          <w:p w14:paraId="34FFF892" w14:textId="77777777" w:rsidR="00F82FE3" w:rsidRDefault="00F82FE3" w:rsidP="00AC7B3B">
            <w:r>
              <w:t>Form (</w:t>
            </w:r>
            <w:r>
              <w:rPr>
                <w:sz w:val="16"/>
              </w:rPr>
              <w:t>sonnet, ballad, verse form, rhyme and rhythm</w:t>
            </w:r>
            <w:r>
              <w:t>)</w:t>
            </w:r>
          </w:p>
        </w:tc>
        <w:tc>
          <w:tcPr>
            <w:tcW w:w="7745" w:type="dxa"/>
          </w:tcPr>
          <w:p w14:paraId="5AEFB9A0" w14:textId="18F050E7" w:rsidR="00F82FE3" w:rsidRDefault="00C52FEE" w:rsidP="00AC7B3B">
            <w:r>
              <w:t xml:space="preserve">Same </w:t>
            </w:r>
            <w:r w:rsidR="001379B4">
              <w:t xml:space="preserve">length stanzas with similar </w:t>
            </w:r>
            <w:r>
              <w:t xml:space="preserve">rhyme scheme </w:t>
            </w:r>
            <w:r w:rsidR="001379B4">
              <w:t>throughout</w:t>
            </w:r>
          </w:p>
          <w:p w14:paraId="39B11EFE" w14:textId="6A50B16E" w:rsidR="00F82FE3" w:rsidRDefault="004A6EE3" w:rsidP="00AC7B3B">
            <w:r>
              <w:t>“Ye know on earth, and all ye need to know” –</w:t>
            </w:r>
            <w:r w:rsidR="009848E2">
              <w:t xml:space="preserve"> </w:t>
            </w:r>
            <w:r>
              <w:t xml:space="preserve">back to iambic pentameter, “ye” is old-fashioned </w:t>
            </w:r>
          </w:p>
          <w:p w14:paraId="7D998DA9" w14:textId="7C48AC04" w:rsidR="00F82FE3" w:rsidRDefault="009848E2" w:rsidP="00AC7B3B">
            <w:r>
              <w:t xml:space="preserve">Ode form is composed of three parts: address, question and reflection </w:t>
            </w:r>
          </w:p>
          <w:p w14:paraId="06DC7C0B" w14:textId="77777777" w:rsidR="00F82FE3" w:rsidRDefault="00F82FE3" w:rsidP="00AC7B3B"/>
        </w:tc>
      </w:tr>
      <w:tr w:rsidR="00F82FE3" w14:paraId="39C4AB10" w14:textId="77777777" w:rsidTr="00E104D2">
        <w:tc>
          <w:tcPr>
            <w:tcW w:w="2127" w:type="dxa"/>
          </w:tcPr>
          <w:p w14:paraId="3D2F3BE8" w14:textId="77777777" w:rsidR="00F82FE3" w:rsidRPr="00F10B16" w:rsidRDefault="00F82FE3" w:rsidP="00AC7B3B">
            <w:pPr>
              <w:rPr>
                <w:sz w:val="16"/>
              </w:rPr>
            </w:pPr>
            <w:r>
              <w:t>Overall structure (</w:t>
            </w:r>
            <w:r>
              <w:rPr>
                <w:sz w:val="16"/>
              </w:rPr>
              <w:t>shifts, changes, climax of narrative etc)</w:t>
            </w:r>
          </w:p>
        </w:tc>
        <w:tc>
          <w:tcPr>
            <w:tcW w:w="7745" w:type="dxa"/>
          </w:tcPr>
          <w:p w14:paraId="581A198F" w14:textId="7D185D60" w:rsidR="00F82FE3" w:rsidRDefault="00C52FEE" w:rsidP="00AC7B3B">
            <w:r>
              <w:t xml:space="preserve">“who are these coming to the sacrifice?” – change of tone </w:t>
            </w:r>
          </w:p>
          <w:p w14:paraId="7C535A76" w14:textId="2469E1D7" w:rsidR="00F82FE3" w:rsidRDefault="009848E2" w:rsidP="00AC7B3B">
            <w:r>
              <w:t xml:space="preserve">Rhetorical questions in first stanza </w:t>
            </w:r>
            <w:r w:rsidR="00DA2B5A">
              <w:t>have</w:t>
            </w:r>
            <w:r>
              <w:t xml:space="preserve"> a broken rhythm and juxtaposes first half of stanza </w:t>
            </w:r>
            <w:r w:rsidR="00DA2B5A">
              <w:t xml:space="preserve">which is controlled and relaxed </w:t>
            </w:r>
          </w:p>
          <w:p w14:paraId="708F0521" w14:textId="4F9B2062" w:rsidR="00F82FE3" w:rsidRDefault="00F82FE3" w:rsidP="00AC7B3B"/>
        </w:tc>
      </w:tr>
      <w:tr w:rsidR="00F82FE3" w14:paraId="522D8E57" w14:textId="77777777" w:rsidTr="00E104D2">
        <w:tc>
          <w:tcPr>
            <w:tcW w:w="2127" w:type="dxa"/>
          </w:tcPr>
          <w:p w14:paraId="48E36A31" w14:textId="77777777" w:rsidR="00F82FE3" w:rsidRDefault="00F82FE3" w:rsidP="00AC7B3B">
            <w:r>
              <w:t>Language  (</w:t>
            </w:r>
            <w:r>
              <w:rPr>
                <w:sz w:val="16"/>
              </w:rPr>
              <w:t>vocabulary - h</w:t>
            </w:r>
            <w:r w:rsidRPr="00893463">
              <w:rPr>
                <w:sz w:val="16"/>
              </w:rPr>
              <w:t>eightened or demotic</w:t>
            </w:r>
            <w:r>
              <w:rPr>
                <w:sz w:val="16"/>
              </w:rPr>
              <w:t>; rhetorical features</w:t>
            </w:r>
            <w:r w:rsidRPr="00893463">
              <w:rPr>
                <w:sz w:val="16"/>
              </w:rPr>
              <w:t xml:space="preserve"> etc</w:t>
            </w:r>
            <w:r>
              <w:t>)</w:t>
            </w:r>
          </w:p>
        </w:tc>
        <w:tc>
          <w:tcPr>
            <w:tcW w:w="7745" w:type="dxa"/>
          </w:tcPr>
          <w:p w14:paraId="521DE289" w14:textId="3AB7BE48" w:rsidR="00C52FEE" w:rsidRDefault="00C52FEE" w:rsidP="00C52FEE">
            <w:pPr>
              <w:tabs>
                <w:tab w:val="left" w:pos="1725"/>
              </w:tabs>
            </w:pPr>
            <w:r>
              <w:t xml:space="preserve">Personification of Urn – “unravish’d bride” </w:t>
            </w:r>
            <w:r w:rsidR="00380319">
              <w:t xml:space="preserve">suggests the marriage between the urn and stillness of time </w:t>
            </w:r>
          </w:p>
          <w:p w14:paraId="252FDC29" w14:textId="3613CE2A" w:rsidR="00F82FE3" w:rsidRDefault="00C52FEE" w:rsidP="00AC7B3B">
            <w:r>
              <w:t xml:space="preserve">Rhetorical questions show passion and moment of contemplating reality </w:t>
            </w:r>
          </w:p>
          <w:p w14:paraId="381DCC17" w14:textId="560F885B" w:rsidR="00F82FE3" w:rsidRDefault="00C52FEE" w:rsidP="00AC7B3B">
            <w:r>
              <w:t xml:space="preserve">“thou shalt remain” – art remains when people don’t </w:t>
            </w:r>
          </w:p>
          <w:p w14:paraId="1B637934" w14:textId="33742271" w:rsidR="00EA5BE9" w:rsidRDefault="00EA5BE9" w:rsidP="00AC7B3B">
            <w:r>
              <w:t xml:space="preserve">“unheard melodies are sweeter” – </w:t>
            </w:r>
            <w:r w:rsidR="009848E2">
              <w:t xml:space="preserve">musical reference, shows the </w:t>
            </w:r>
            <w:r>
              <w:t xml:space="preserve">power of the imagination to create a world better than reality </w:t>
            </w:r>
          </w:p>
        </w:tc>
      </w:tr>
      <w:tr w:rsidR="00F82FE3" w14:paraId="694FD26F" w14:textId="77777777" w:rsidTr="00E104D2">
        <w:tc>
          <w:tcPr>
            <w:tcW w:w="2127" w:type="dxa"/>
          </w:tcPr>
          <w:p w14:paraId="38BA8044" w14:textId="77777777" w:rsidR="00F82FE3" w:rsidRDefault="00F82FE3" w:rsidP="00AC7B3B">
            <w:r>
              <w:t>Sound effects (</w:t>
            </w:r>
            <w:r>
              <w:rPr>
                <w:sz w:val="16"/>
              </w:rPr>
              <w:t>harsh and soft, onomatopoeia etc)</w:t>
            </w:r>
          </w:p>
        </w:tc>
        <w:tc>
          <w:tcPr>
            <w:tcW w:w="7745" w:type="dxa"/>
          </w:tcPr>
          <w:p w14:paraId="2BB4BBF3" w14:textId="77777777" w:rsidR="00F82FE3" w:rsidRDefault="005238A4" w:rsidP="00AC7B3B">
            <w:r>
              <w:t xml:space="preserve">Long open vowels in “slow time” </w:t>
            </w:r>
            <w:r w:rsidR="009848E2">
              <w:t xml:space="preserve">slows down pace of the poem – mimics the stillness of life on the urn </w:t>
            </w:r>
          </w:p>
          <w:p w14:paraId="0D03E409" w14:textId="2413EE96" w:rsidR="00DA2B5A" w:rsidRDefault="00DA2B5A" w:rsidP="00AC7B3B"/>
        </w:tc>
      </w:tr>
      <w:tr w:rsidR="00E104D2" w14:paraId="19A689C4" w14:textId="77777777" w:rsidTr="00E104D2">
        <w:tc>
          <w:tcPr>
            <w:tcW w:w="2127" w:type="dxa"/>
          </w:tcPr>
          <w:p w14:paraId="3648C9C3" w14:textId="77777777" w:rsidR="00F82FE3" w:rsidRPr="00893463" w:rsidRDefault="00F82FE3" w:rsidP="00AC7B3B">
            <w:pPr>
              <w:rPr>
                <w:sz w:val="16"/>
              </w:rPr>
            </w:pPr>
            <w:r>
              <w:t>Imagery (</w:t>
            </w:r>
            <w:r>
              <w:rPr>
                <w:sz w:val="16"/>
              </w:rPr>
              <w:t>metaphor, simile, images etc)</w:t>
            </w:r>
          </w:p>
        </w:tc>
        <w:tc>
          <w:tcPr>
            <w:tcW w:w="7745" w:type="dxa"/>
          </w:tcPr>
          <w:p w14:paraId="217104B9" w14:textId="2097A383" w:rsidR="00F82FE3" w:rsidRDefault="00C52FEE" w:rsidP="00AC7B3B">
            <w:r>
              <w:t>“sylvan historian” –</w:t>
            </w:r>
            <w:r w:rsidR="009848E2">
              <w:t xml:space="preserve"> the urn can express itself and tell mythical and ancient tales</w:t>
            </w:r>
          </w:p>
          <w:p w14:paraId="07CF009B" w14:textId="565B6787" w:rsidR="00F82FE3" w:rsidRDefault="00C52FEE" w:rsidP="00AC7B3B">
            <w:r>
              <w:t xml:space="preserve">“Arcady”, “mens and Gods” – places and images of Ancient Greece </w:t>
            </w:r>
            <w:r w:rsidR="003C2BB8">
              <w:t>that represent</w:t>
            </w:r>
            <w:r>
              <w:t xml:space="preserve"> paradise on the urn </w:t>
            </w:r>
          </w:p>
          <w:p w14:paraId="41E15EB3" w14:textId="1ABD47C1" w:rsidR="00F82FE3" w:rsidRDefault="00C52FEE" w:rsidP="00AC7B3B">
            <w:r>
              <w:t xml:space="preserve">“trodden weed” – man </w:t>
            </w:r>
            <w:r w:rsidR="003C2BB8">
              <w:t>trying to conquer</w:t>
            </w:r>
            <w:r>
              <w:t xml:space="preserve"> nature </w:t>
            </w:r>
          </w:p>
          <w:p w14:paraId="74D015A9" w14:textId="47BC745D" w:rsidR="00F82FE3" w:rsidRDefault="00C52FEE" w:rsidP="00AC7B3B">
            <w:r>
              <w:t>“cold pastoral!” –</w:t>
            </w:r>
            <w:r w:rsidR="003C2BB8">
              <w:t xml:space="preserve"> the</w:t>
            </w:r>
            <w:r>
              <w:t xml:space="preserve"> world of the urn experienced through imagination </w:t>
            </w:r>
          </w:p>
          <w:p w14:paraId="7DFACD65" w14:textId="5D7D5471" w:rsidR="00EA5BE9" w:rsidRDefault="00EA5BE9" w:rsidP="00AC7B3B">
            <w:r>
              <w:t xml:space="preserve">“old age” – we’ll </w:t>
            </w:r>
            <w:r w:rsidR="003C2BB8">
              <w:t>fade away but the urn will stay meaning that</w:t>
            </w:r>
            <w:r>
              <w:t xml:space="preserve"> imagination is immortal </w:t>
            </w:r>
          </w:p>
        </w:tc>
      </w:tr>
      <w:tr w:rsidR="00E104D2" w14:paraId="0479EAF5" w14:textId="77777777" w:rsidTr="00E104D2">
        <w:tc>
          <w:tcPr>
            <w:tcW w:w="2127" w:type="dxa"/>
          </w:tcPr>
          <w:p w14:paraId="24FFD13D" w14:textId="77777777" w:rsidR="00F82FE3" w:rsidRDefault="00F82FE3" w:rsidP="00AC7B3B">
            <w:r>
              <w:t>Patterns of language (</w:t>
            </w:r>
            <w:r w:rsidRPr="00F10B16">
              <w:rPr>
                <w:sz w:val="16"/>
              </w:rPr>
              <w:t>semantic fields, repetitions</w:t>
            </w:r>
            <w:r>
              <w:rPr>
                <w:sz w:val="16"/>
              </w:rPr>
              <w:t>, oppositions</w:t>
            </w:r>
            <w:r>
              <w:t>)</w:t>
            </w:r>
          </w:p>
        </w:tc>
        <w:tc>
          <w:tcPr>
            <w:tcW w:w="7745" w:type="dxa"/>
          </w:tcPr>
          <w:p w14:paraId="0A1AC7E6" w14:textId="1F0C0302" w:rsidR="00F82FE3" w:rsidRDefault="00EA5BE9" w:rsidP="00AC7B3B">
            <w:r>
              <w:t xml:space="preserve"> </w:t>
            </w:r>
            <w:r w:rsidR="004A6EE3">
              <w:t xml:space="preserve">“beauty is truth, truth beauty” – the truth is in art and therefore, the truth is immortal </w:t>
            </w:r>
            <w:r w:rsidR="003C2BB8">
              <w:t xml:space="preserve">because art can never fade </w:t>
            </w:r>
          </w:p>
          <w:p w14:paraId="7483EF22" w14:textId="018AD2FD" w:rsidR="00F82FE3" w:rsidRDefault="00EA5BE9" w:rsidP="00AC7B3B">
            <w:r>
              <w:t xml:space="preserve">Repetition of “happy” and “For ever” </w:t>
            </w:r>
            <w:r w:rsidR="003C2BB8">
              <w:t>show the pastoral blis</w:t>
            </w:r>
            <w:r w:rsidR="00380319">
              <w:t xml:space="preserve">sfulness of the life on the urn. However, it could also show speaker’s anxiety and desired state projected onto the urn. </w:t>
            </w:r>
          </w:p>
        </w:tc>
      </w:tr>
      <w:tr w:rsidR="00F82FE3" w14:paraId="0284FB1B" w14:textId="77777777" w:rsidTr="00E104D2">
        <w:tc>
          <w:tcPr>
            <w:tcW w:w="2127" w:type="dxa"/>
          </w:tcPr>
          <w:p w14:paraId="5437795E" w14:textId="77777777" w:rsidR="00F82FE3" w:rsidRPr="003A248F" w:rsidRDefault="00F82FE3" w:rsidP="00AC7B3B">
            <w:pPr>
              <w:rPr>
                <w:sz w:val="16"/>
              </w:rPr>
            </w:pPr>
            <w:r>
              <w:t>Punctuation and grammar (</w:t>
            </w:r>
            <w:r>
              <w:rPr>
                <w:sz w:val="16"/>
              </w:rPr>
              <w:t>sentence length, end-stopping, caesura, verb mood - imperative, declarative, interrogative, exclamatory)</w:t>
            </w:r>
          </w:p>
        </w:tc>
        <w:tc>
          <w:tcPr>
            <w:tcW w:w="7745" w:type="dxa"/>
          </w:tcPr>
          <w:p w14:paraId="6F37E61C" w14:textId="3A88F51A" w:rsidR="00F82FE3" w:rsidRDefault="00C52FEE" w:rsidP="00AC7B3B">
            <w:r>
              <w:t xml:space="preserve">Caesura </w:t>
            </w:r>
            <w:r w:rsidR="003C2BB8">
              <w:t xml:space="preserve">and end stopping </w:t>
            </w:r>
            <w:r w:rsidR="00DA2B5A">
              <w:t xml:space="preserve">included </w:t>
            </w:r>
          </w:p>
          <w:p w14:paraId="17EC8209" w14:textId="6EA74356" w:rsidR="00DA2B5A" w:rsidRDefault="00DA2B5A" w:rsidP="00AC7B3B">
            <w:r>
              <w:t xml:space="preserve">Goes to declarative by the end of the poem </w:t>
            </w:r>
          </w:p>
          <w:p w14:paraId="11EB14AD" w14:textId="7CCC7405" w:rsidR="00F82FE3" w:rsidRPr="00F82FE3" w:rsidRDefault="00F82FE3" w:rsidP="00AC7B3B"/>
        </w:tc>
      </w:tr>
      <w:tr w:rsidR="00F82FE3" w14:paraId="4498218E" w14:textId="77777777" w:rsidTr="00E104D2">
        <w:tc>
          <w:tcPr>
            <w:tcW w:w="2127" w:type="dxa"/>
          </w:tcPr>
          <w:p w14:paraId="42A1EE82" w14:textId="77777777" w:rsidR="00F82FE3" w:rsidRDefault="00F82FE3" w:rsidP="00AC7B3B">
            <w:r>
              <w:t>Links to other poems</w:t>
            </w:r>
          </w:p>
        </w:tc>
        <w:tc>
          <w:tcPr>
            <w:tcW w:w="7745" w:type="dxa"/>
          </w:tcPr>
          <w:p w14:paraId="5947D7CE" w14:textId="1923450A" w:rsidR="00F82FE3" w:rsidRDefault="00396450" w:rsidP="00AC7B3B">
            <w:r>
              <w:t>Rime of the Ancient Mariner –</w:t>
            </w:r>
            <w:r w:rsidR="003C2BB8">
              <w:t xml:space="preserve"> beliefs and </w:t>
            </w:r>
            <w:r>
              <w:t xml:space="preserve">mythology </w:t>
            </w:r>
          </w:p>
          <w:p w14:paraId="342EDDDE" w14:textId="1AE63BD2" w:rsidR="00F82FE3" w:rsidRDefault="00396450" w:rsidP="00AC7B3B">
            <w:r>
              <w:t>Ode to a nightingale –</w:t>
            </w:r>
            <w:r w:rsidR="003C2BB8">
              <w:t xml:space="preserve"> beauty and </w:t>
            </w:r>
            <w:r>
              <w:t>imagination</w:t>
            </w:r>
            <w:r w:rsidR="003C2BB8">
              <w:t xml:space="preserve"> in natural things </w:t>
            </w:r>
          </w:p>
          <w:p w14:paraId="050253EF" w14:textId="6CDFE0BA" w:rsidR="00F82FE3" w:rsidRDefault="00396450" w:rsidP="00AC7B3B">
            <w:r>
              <w:t xml:space="preserve">Ode to Autumn – nature/beauty </w:t>
            </w:r>
          </w:p>
          <w:p w14:paraId="455AB9D6" w14:textId="55F241F0" w:rsidR="00E104D2" w:rsidRDefault="00396450" w:rsidP="00AC7B3B">
            <w:r>
              <w:t>Intimation of immortality – youth/</w:t>
            </w:r>
            <w:r w:rsidR="003C2BB8">
              <w:t xml:space="preserve">power of the </w:t>
            </w:r>
            <w:r>
              <w:t xml:space="preserve">imagination </w:t>
            </w:r>
          </w:p>
        </w:tc>
      </w:tr>
    </w:tbl>
    <w:p w14:paraId="1B4C241F" w14:textId="77777777" w:rsidR="00F82FE3" w:rsidRDefault="00F82FE3"/>
    <w:sectPr w:rsidR="00F82FE3" w:rsidSect="00E104D2">
      <w:pgSz w:w="11906" w:h="16838"/>
      <w:pgMar w:top="426" w:right="144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BB"/>
    <w:rsid w:val="001379B4"/>
    <w:rsid w:val="00380319"/>
    <w:rsid w:val="00396450"/>
    <w:rsid w:val="003A248F"/>
    <w:rsid w:val="003C2BB8"/>
    <w:rsid w:val="00496440"/>
    <w:rsid w:val="004A6EE3"/>
    <w:rsid w:val="005238A4"/>
    <w:rsid w:val="006760BB"/>
    <w:rsid w:val="007140D1"/>
    <w:rsid w:val="00893463"/>
    <w:rsid w:val="009848E2"/>
    <w:rsid w:val="00BB1EDA"/>
    <w:rsid w:val="00C52FEE"/>
    <w:rsid w:val="00DA2B5A"/>
    <w:rsid w:val="00E104D2"/>
    <w:rsid w:val="00E45B39"/>
    <w:rsid w:val="00EA5BE9"/>
    <w:rsid w:val="00F10B16"/>
    <w:rsid w:val="00F8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DE93"/>
  <w15:chartTrackingRefBased/>
  <w15:docId w15:val="{F6CAEB23-F3D2-4E94-9A36-BBA00BD8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35C216-5BF6-46C7-AD91-D9539E31D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D6E2A-35C6-432F-B377-FD75EDA29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2D79F-0BA0-4A4E-B9F4-F4E0D03150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Kinder</dc:creator>
  <cp:keywords/>
  <dc:description/>
  <cp:lastModifiedBy>David Kinder</cp:lastModifiedBy>
  <cp:revision>2</cp:revision>
  <dcterms:created xsi:type="dcterms:W3CDTF">2017-06-05T18:07:00Z</dcterms:created>
  <dcterms:modified xsi:type="dcterms:W3CDTF">2017-06-05T18:07:00Z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