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1A3D6" w14:textId="77777777" w:rsidR="00E104D2" w:rsidRPr="00E104D2" w:rsidRDefault="00E104D2" w:rsidP="00E104D2">
      <w:pPr>
        <w:shd w:val="clear" w:color="auto" w:fill="000000" w:themeFill="text1"/>
        <w:tabs>
          <w:tab w:val="left" w:pos="6237"/>
        </w:tabs>
        <w:ind w:left="-851"/>
        <w:rPr>
          <w:color w:val="FFFFFF" w:themeColor="background1"/>
          <w:sz w:val="28"/>
        </w:rPr>
      </w:pPr>
      <w:r w:rsidRPr="00E104D2">
        <w:rPr>
          <w:rFonts w:ascii="Times New Roman" w:hAnsi="Times New Roman" w:cs="Times New Roman"/>
          <w:b/>
          <w:color w:val="FFFFFF" w:themeColor="background1"/>
          <w:sz w:val="28"/>
        </w:rPr>
        <w:t>English Romantic Verse</w:t>
      </w:r>
      <w:r w:rsidRPr="00E104D2">
        <w:rPr>
          <w:color w:val="FFFFFF" w:themeColor="background1"/>
          <w:sz w:val="28"/>
        </w:rPr>
        <w:t xml:space="preserve">                                               One-Page Guides</w:t>
      </w:r>
    </w:p>
    <w:p w14:paraId="1176FD32" w14:textId="70EA37BD" w:rsidR="00E104D2" w:rsidRDefault="00E104D2" w:rsidP="00E104D2">
      <w:pPr>
        <w:tabs>
          <w:tab w:val="left" w:pos="6237"/>
        </w:tabs>
        <w:ind w:left="-851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FB4A373" wp14:editId="1FEF1CE4">
            <wp:simplePos x="0" y="0"/>
            <wp:positionH relativeFrom="rightMargin">
              <wp:align>left</wp:align>
            </wp:positionH>
            <wp:positionV relativeFrom="paragraph">
              <wp:posOffset>193335</wp:posOffset>
            </wp:positionV>
            <wp:extent cx="571500" cy="93796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37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D0A">
        <w:rPr>
          <w:b/>
        </w:rPr>
        <w:t xml:space="preserve">Poem: So we’ll Go No More a – Roving </w:t>
      </w:r>
    </w:p>
    <w:p w14:paraId="1CDC2056" w14:textId="64693D4D" w:rsidR="00E104D2" w:rsidRDefault="00E104D2" w:rsidP="00E104D2">
      <w:pPr>
        <w:tabs>
          <w:tab w:val="left" w:pos="6237"/>
        </w:tabs>
        <w:ind w:left="-851"/>
      </w:pPr>
      <w:r>
        <w:t>Poet</w:t>
      </w:r>
      <w:r w:rsidR="00374D0A">
        <w:t>: Lord Byron</w:t>
      </w:r>
    </w:p>
    <w:tbl>
      <w:tblPr>
        <w:tblStyle w:val="TableGrid"/>
        <w:tblW w:w="0" w:type="auto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14"/>
        <w:gridCol w:w="7648"/>
      </w:tblGrid>
      <w:tr w:rsidR="00E104D2" w14:paraId="7124B90D" w14:textId="77777777" w:rsidTr="0007344F">
        <w:trPr>
          <w:trHeight w:val="1403"/>
        </w:trPr>
        <w:tc>
          <w:tcPr>
            <w:tcW w:w="2127" w:type="dxa"/>
          </w:tcPr>
          <w:p w14:paraId="43D14D6C" w14:textId="77777777" w:rsidR="00F82FE3" w:rsidRPr="00893463" w:rsidRDefault="00F82FE3" w:rsidP="00AC7B3B">
            <w:pPr>
              <w:rPr>
                <w:sz w:val="16"/>
              </w:rPr>
            </w:pPr>
            <w:r>
              <w:t>Context (</w:t>
            </w:r>
            <w:r>
              <w:rPr>
                <w:sz w:val="16"/>
              </w:rPr>
              <w:t>biographical, Romantic attitudes, social/historical etc)</w:t>
            </w:r>
            <w:r w:rsidR="00E104D2">
              <w:rPr>
                <w:noProof/>
                <w:lang w:eastAsia="en-GB"/>
              </w:rPr>
              <w:t xml:space="preserve"> </w:t>
            </w:r>
          </w:p>
        </w:tc>
        <w:tc>
          <w:tcPr>
            <w:tcW w:w="7745" w:type="dxa"/>
          </w:tcPr>
          <w:p w14:paraId="4F93FB54" w14:textId="0EB7BBD0" w:rsidR="00F82FE3" w:rsidRDefault="00374D0A" w:rsidP="00374D0A">
            <w:pPr>
              <w:pStyle w:val="ListParagraph"/>
              <w:numPr>
                <w:ilvl w:val="0"/>
                <w:numId w:val="1"/>
              </w:numPr>
            </w:pPr>
            <w:r>
              <w:t>Written on 28 February 1817 in a letter to Byron’s friend, Thomas Moore.</w:t>
            </w:r>
          </w:p>
          <w:p w14:paraId="6456CDDE" w14:textId="5741FA5B" w:rsidR="00F82FE3" w:rsidRDefault="00374D0A" w:rsidP="00AC7B3B">
            <w:pPr>
              <w:pStyle w:val="ListParagraph"/>
              <w:numPr>
                <w:ilvl w:val="0"/>
                <w:numId w:val="1"/>
              </w:numPr>
            </w:pPr>
            <w:r>
              <w:t xml:space="preserve">Byron had left England a year earlier (after his wife had left him), to live in Venice. </w:t>
            </w:r>
            <w:r w:rsidR="0007344F">
              <w:t xml:space="preserve"> He was known as having a ‘scandalous’ life, represented in the poem. </w:t>
            </w:r>
          </w:p>
        </w:tc>
      </w:tr>
      <w:tr w:rsidR="00E104D2" w14:paraId="1C6B5107" w14:textId="77777777" w:rsidTr="00E104D2">
        <w:tc>
          <w:tcPr>
            <w:tcW w:w="2127" w:type="dxa"/>
          </w:tcPr>
          <w:p w14:paraId="28DC2E25" w14:textId="77777777" w:rsidR="00F82FE3" w:rsidRDefault="00F82FE3" w:rsidP="00AC7B3B">
            <w:r>
              <w:t>A poem about… (</w:t>
            </w:r>
            <w:r>
              <w:rPr>
                <w:sz w:val="18"/>
              </w:rPr>
              <w:t>Interpretations, k</w:t>
            </w:r>
            <w:r w:rsidRPr="00893463">
              <w:rPr>
                <w:sz w:val="18"/>
              </w:rPr>
              <w:t xml:space="preserve">ey </w:t>
            </w:r>
            <w:r>
              <w:rPr>
                <w:sz w:val="18"/>
              </w:rPr>
              <w:t>Romantic</w:t>
            </w:r>
            <w:r w:rsidRPr="00893463">
              <w:rPr>
                <w:sz w:val="18"/>
              </w:rPr>
              <w:t xml:space="preserve"> theme</w:t>
            </w:r>
            <w:r>
              <w:rPr>
                <w:sz w:val="18"/>
              </w:rPr>
              <w:t>s, nature, mortality)</w:t>
            </w:r>
          </w:p>
        </w:tc>
        <w:tc>
          <w:tcPr>
            <w:tcW w:w="7745" w:type="dxa"/>
          </w:tcPr>
          <w:p w14:paraId="21E31630" w14:textId="77777777" w:rsidR="00F82FE3" w:rsidRDefault="00F82FE3" w:rsidP="00AC7B3B"/>
          <w:p w14:paraId="144CFFD8" w14:textId="4A55A1F3" w:rsidR="00F82FE3" w:rsidRDefault="00374D0A" w:rsidP="00AC7B3B">
            <w:pPr>
              <w:pStyle w:val="ListParagraph"/>
              <w:numPr>
                <w:ilvl w:val="0"/>
                <w:numId w:val="1"/>
              </w:numPr>
            </w:pPr>
            <w:r>
              <w:t>Bryon talks about growing old and weary of the ‘partying’ life.</w:t>
            </w:r>
            <w:r w:rsidR="006C4CC0">
              <w:t xml:space="preserve"> At the age of 29, he felt he was g</w:t>
            </w:r>
            <w:r w:rsidR="0007344F">
              <w:t>rowing old and it was now time to rest.</w:t>
            </w:r>
          </w:p>
          <w:p w14:paraId="68FFB637" w14:textId="77777777" w:rsidR="00F82FE3" w:rsidRDefault="00F82FE3" w:rsidP="00AC7B3B"/>
          <w:p w14:paraId="34FE5763" w14:textId="77777777" w:rsidR="00F82FE3" w:rsidRDefault="00F82FE3" w:rsidP="00AC7B3B"/>
        </w:tc>
      </w:tr>
      <w:tr w:rsidR="00F82FE3" w14:paraId="09344321" w14:textId="77777777" w:rsidTr="00E104D2">
        <w:tc>
          <w:tcPr>
            <w:tcW w:w="2127" w:type="dxa"/>
          </w:tcPr>
          <w:p w14:paraId="5C1027C6" w14:textId="77777777" w:rsidR="00F82FE3" w:rsidRDefault="00F82FE3" w:rsidP="00AC7B3B">
            <w:r>
              <w:t>Speaker (</w:t>
            </w:r>
            <w:r w:rsidRPr="00893463">
              <w:rPr>
                <w:sz w:val="16"/>
              </w:rPr>
              <w:t>who? talking to whom? attitude to subject- ironic, reverent etc</w:t>
            </w:r>
            <w:r>
              <w:t>)</w:t>
            </w:r>
          </w:p>
        </w:tc>
        <w:tc>
          <w:tcPr>
            <w:tcW w:w="7745" w:type="dxa"/>
          </w:tcPr>
          <w:p w14:paraId="72D2B38A" w14:textId="77777777" w:rsidR="00F82FE3" w:rsidRDefault="00F82FE3" w:rsidP="00AC7B3B"/>
          <w:p w14:paraId="183EA275" w14:textId="4A93E72A" w:rsidR="00F82FE3" w:rsidRDefault="006C4CC0" w:rsidP="006C4CC0">
            <w:pPr>
              <w:pStyle w:val="ListParagraph"/>
              <w:numPr>
                <w:ilvl w:val="0"/>
                <w:numId w:val="1"/>
              </w:numPr>
            </w:pPr>
            <w:r>
              <w:t xml:space="preserve">The speakers use of ‘we’, in “We’ll Go No More A Roving” causes the reader to think he may be addressing someone, in this case Thomas Moore, or Byron may be talking to himself. </w:t>
            </w:r>
          </w:p>
          <w:p w14:paraId="16CE0ED3" w14:textId="5AF00313" w:rsidR="00F82FE3" w:rsidRDefault="00B81048" w:rsidP="00AC7B3B">
            <w:pPr>
              <w:pStyle w:val="ListParagraph"/>
              <w:numPr>
                <w:ilvl w:val="0"/>
                <w:numId w:val="1"/>
              </w:numPr>
            </w:pPr>
            <w:r>
              <w:t xml:space="preserve"> Autobiographical poem</w:t>
            </w:r>
          </w:p>
          <w:p w14:paraId="7A1B6D12" w14:textId="77777777" w:rsidR="00F82FE3" w:rsidRDefault="00F82FE3" w:rsidP="00AC7B3B"/>
        </w:tc>
      </w:tr>
      <w:tr w:rsidR="00E104D2" w14:paraId="538F57FC" w14:textId="77777777" w:rsidTr="00E104D2">
        <w:tc>
          <w:tcPr>
            <w:tcW w:w="2127" w:type="dxa"/>
          </w:tcPr>
          <w:p w14:paraId="34FFF892" w14:textId="77777777" w:rsidR="00F82FE3" w:rsidRDefault="00F82FE3" w:rsidP="00AC7B3B">
            <w:r>
              <w:t>Form (</w:t>
            </w:r>
            <w:r>
              <w:rPr>
                <w:sz w:val="16"/>
              </w:rPr>
              <w:t>sonnet, ballad, verse form, rhyme and rhythm</w:t>
            </w:r>
            <w:r>
              <w:t>)</w:t>
            </w:r>
          </w:p>
        </w:tc>
        <w:tc>
          <w:tcPr>
            <w:tcW w:w="7745" w:type="dxa"/>
          </w:tcPr>
          <w:p w14:paraId="5AEFB9A0" w14:textId="77777777" w:rsidR="00F82FE3" w:rsidRDefault="00F82FE3" w:rsidP="00AC7B3B"/>
          <w:p w14:paraId="39B11EFE" w14:textId="77777777" w:rsidR="00F82FE3" w:rsidRDefault="00F82FE3" w:rsidP="00AC7B3B"/>
          <w:p w14:paraId="27EE54CF" w14:textId="34E315F1" w:rsidR="008C00DC" w:rsidRDefault="00746570" w:rsidP="008C00DC">
            <w:pPr>
              <w:pStyle w:val="ListParagraph"/>
              <w:numPr>
                <w:ilvl w:val="0"/>
                <w:numId w:val="1"/>
              </w:numPr>
            </w:pPr>
            <w:r>
              <w:t xml:space="preserve">Follows an ABAB structure </w:t>
            </w:r>
            <w:r w:rsidR="00532DEE">
              <w:t>with some</w:t>
            </w:r>
            <w:r>
              <w:t xml:space="preserve"> ‘eye rhymes’ (words that looks similar but don’t necessarily rhyme)</w:t>
            </w:r>
            <w:r w:rsidR="009517DA">
              <w:t>/half rhymes.</w:t>
            </w:r>
            <w:r w:rsidR="008C00DC">
              <w:t xml:space="preserve"> </w:t>
            </w:r>
            <w:r w:rsidR="009517DA">
              <w:t>Ambigious as to why – gives a sense of freedom, but keeps lyrical quality too</w:t>
            </w:r>
          </w:p>
          <w:p w14:paraId="130917F3" w14:textId="6BAF7AD1" w:rsidR="008C00DC" w:rsidRDefault="008C00DC" w:rsidP="008C00DC">
            <w:pPr>
              <w:pStyle w:val="ListParagraph"/>
              <w:numPr>
                <w:ilvl w:val="0"/>
                <w:numId w:val="1"/>
              </w:numPr>
            </w:pPr>
            <w:r>
              <w:t xml:space="preserve">Every line in the poem contains an </w:t>
            </w:r>
            <w:r w:rsidR="009517DA">
              <w:rPr>
                <w:i/>
              </w:rPr>
              <w:t>anap</w:t>
            </w:r>
            <w:r>
              <w:rPr>
                <w:i/>
              </w:rPr>
              <w:t>est</w:t>
            </w:r>
            <w:r>
              <w:t xml:space="preserve"> (a </w:t>
            </w:r>
            <w:r w:rsidR="009517DA">
              <w:t>foot</w:t>
            </w:r>
            <w:r>
              <w:t xml:space="preserve"> that contains two unstressed syllables followed by a stressed syllable</w:t>
            </w:r>
            <w:r w:rsidR="009517DA">
              <w:t xml:space="preserve"> e.g. ‘For the </w:t>
            </w:r>
            <w:r w:rsidR="009517DA">
              <w:rPr>
                <w:b/>
              </w:rPr>
              <w:t>sword</w:t>
            </w:r>
            <w:r w:rsidR="009517DA">
              <w:t>’</w:t>
            </w:r>
            <w:r>
              <w:t xml:space="preserve">) except for in line 2 and 8. This gives the poem </w:t>
            </w:r>
            <w:r w:rsidR="009517DA">
              <w:t>a lighter ‘skipping’ quality, a musicality; this foot is common in children’s rhyme.</w:t>
            </w:r>
          </w:p>
          <w:p w14:paraId="57C05211" w14:textId="0DC829BE" w:rsidR="008C00DC" w:rsidRDefault="008C00DC" w:rsidP="008C00DC">
            <w:pPr>
              <w:pStyle w:val="ListParagraph"/>
              <w:numPr>
                <w:ilvl w:val="0"/>
                <w:numId w:val="1"/>
              </w:numPr>
            </w:pPr>
            <w:r>
              <w:t xml:space="preserve">Written in quatrains – three stanzas of four lines each. </w:t>
            </w:r>
          </w:p>
          <w:p w14:paraId="19FA9B2D" w14:textId="5E62CA8F" w:rsidR="008C00DC" w:rsidRDefault="008C00DC" w:rsidP="008C00DC">
            <w:pPr>
              <w:pStyle w:val="ListParagraph"/>
              <w:numPr>
                <w:ilvl w:val="0"/>
                <w:numId w:val="1"/>
              </w:numPr>
            </w:pPr>
            <w:r>
              <w:t>“A” rhyme returns in the final stanza as if the poem has gone in a circle, which</w:t>
            </w:r>
            <w:r w:rsidR="009517DA">
              <w:t xml:space="preserve"> perhaps</w:t>
            </w:r>
            <w:r>
              <w:t xml:space="preserve"> represents the cycle of life that the spea</w:t>
            </w:r>
            <w:r w:rsidR="009517DA">
              <w:t>ker feels is coming to a close, or to show that the whole poem was about explaining and exploring the opening statement</w:t>
            </w:r>
          </w:p>
          <w:p w14:paraId="3FB669D7" w14:textId="387E7C15" w:rsidR="008C00DC" w:rsidRDefault="008C00DC" w:rsidP="008C00DC">
            <w:pPr>
              <w:pStyle w:val="ListParagraph"/>
              <w:numPr>
                <w:ilvl w:val="0"/>
                <w:numId w:val="1"/>
              </w:numPr>
            </w:pPr>
            <w:r>
              <w:t>The word ‘loving’ is always sandwiched by ‘roving’ to make a chiasmus (two parallel phrases</w:t>
            </w:r>
            <w:r w:rsidR="00046046">
              <w:t xml:space="preserve"> in which corresponding words or</w:t>
            </w:r>
            <w:r>
              <w:t xml:space="preserve"> phrases are placed in the opposite order), which again makes the poem seem compact and balanced.</w:t>
            </w:r>
          </w:p>
          <w:p w14:paraId="7D998DA9" w14:textId="77777777" w:rsidR="00F82FE3" w:rsidRDefault="00F82FE3" w:rsidP="00AC7B3B"/>
          <w:p w14:paraId="06DC7C0B" w14:textId="77777777" w:rsidR="00F82FE3" w:rsidRDefault="00F82FE3" w:rsidP="00AC7B3B"/>
        </w:tc>
      </w:tr>
      <w:tr w:rsidR="00F82FE3" w14:paraId="39C4AB10" w14:textId="77777777" w:rsidTr="00E104D2">
        <w:tc>
          <w:tcPr>
            <w:tcW w:w="2127" w:type="dxa"/>
          </w:tcPr>
          <w:p w14:paraId="3D2F3BE8" w14:textId="0EC1B072" w:rsidR="00F82FE3" w:rsidRPr="00F10B16" w:rsidRDefault="008C00DC" w:rsidP="00AC7B3B">
            <w:pPr>
              <w:rPr>
                <w:sz w:val="16"/>
              </w:rPr>
            </w:pPr>
            <w:r>
              <w:lastRenderedPageBreak/>
              <w:t xml:space="preserve"> </w:t>
            </w:r>
            <w:r w:rsidR="00F82FE3">
              <w:t>Overall structure (</w:t>
            </w:r>
            <w:r w:rsidR="00F82FE3">
              <w:rPr>
                <w:sz w:val="16"/>
              </w:rPr>
              <w:t>shifts, changes, climax of narrative etc)</w:t>
            </w:r>
          </w:p>
        </w:tc>
        <w:tc>
          <w:tcPr>
            <w:tcW w:w="7745" w:type="dxa"/>
          </w:tcPr>
          <w:p w14:paraId="581A198F" w14:textId="676AF357" w:rsidR="00F82FE3" w:rsidRDefault="00532DEE" w:rsidP="00532DEE">
            <w:pPr>
              <w:pStyle w:val="ListParagraph"/>
              <w:numPr>
                <w:ilvl w:val="0"/>
                <w:numId w:val="1"/>
              </w:numPr>
            </w:pPr>
            <w:r>
              <w:t>The chiasm</w:t>
            </w:r>
            <w:r w:rsidR="00046046">
              <w:t>us</w:t>
            </w:r>
            <w:r>
              <w:t xml:space="preserve"> gives the poem a cyclical feel, as it draws to an end with the same conclusion that it began with.</w:t>
            </w:r>
          </w:p>
          <w:p w14:paraId="50F8B6F0" w14:textId="79F30CE1" w:rsidR="00F82FE3" w:rsidRDefault="0007344F" w:rsidP="00AC7B3B">
            <w:pPr>
              <w:pStyle w:val="ListParagraph"/>
              <w:numPr>
                <w:ilvl w:val="0"/>
                <w:numId w:val="1"/>
              </w:numPr>
            </w:pPr>
            <w:r>
              <w:t>The three short stanzas add to the simple message of the poem, and also hints at the transience of life.</w:t>
            </w:r>
          </w:p>
          <w:p w14:paraId="708F0521" w14:textId="77777777" w:rsidR="00F82FE3" w:rsidRDefault="00F82FE3" w:rsidP="00AC7B3B"/>
        </w:tc>
      </w:tr>
      <w:tr w:rsidR="00F82FE3" w14:paraId="522D8E57" w14:textId="77777777" w:rsidTr="00E104D2">
        <w:tc>
          <w:tcPr>
            <w:tcW w:w="2127" w:type="dxa"/>
          </w:tcPr>
          <w:p w14:paraId="48E36A31" w14:textId="77777777" w:rsidR="00F82FE3" w:rsidRDefault="00F82FE3" w:rsidP="00AC7B3B">
            <w:r>
              <w:t>Language  (</w:t>
            </w:r>
            <w:r>
              <w:rPr>
                <w:sz w:val="16"/>
              </w:rPr>
              <w:t>vocabulary - h</w:t>
            </w:r>
            <w:r w:rsidRPr="00893463">
              <w:rPr>
                <w:sz w:val="16"/>
              </w:rPr>
              <w:t>eightened or demotic</w:t>
            </w:r>
            <w:r>
              <w:rPr>
                <w:sz w:val="16"/>
              </w:rPr>
              <w:t>; rhetorical features</w:t>
            </w:r>
            <w:r w:rsidRPr="00893463">
              <w:rPr>
                <w:sz w:val="16"/>
              </w:rPr>
              <w:t xml:space="preserve"> etc</w:t>
            </w:r>
            <w:r>
              <w:t>)</w:t>
            </w:r>
          </w:p>
        </w:tc>
        <w:tc>
          <w:tcPr>
            <w:tcW w:w="7745" w:type="dxa"/>
          </w:tcPr>
          <w:p w14:paraId="252FDC29" w14:textId="77777777" w:rsidR="00F82FE3" w:rsidRDefault="00F82FE3" w:rsidP="00AC7B3B"/>
          <w:p w14:paraId="381DCC17" w14:textId="027F1576" w:rsidR="00F82FE3" w:rsidRDefault="00746570" w:rsidP="00746570">
            <w:pPr>
              <w:pStyle w:val="ListParagraph"/>
              <w:numPr>
                <w:ilvl w:val="0"/>
                <w:numId w:val="1"/>
              </w:numPr>
            </w:pPr>
            <w:r>
              <w:t xml:space="preserve">Significant use of anaphora (repetition of title and structure) which could represent the laborious nature of the ‘roving’ life. </w:t>
            </w:r>
          </w:p>
          <w:p w14:paraId="1B637934" w14:textId="77777777" w:rsidR="00F82FE3" w:rsidRDefault="00F82FE3" w:rsidP="00AC7B3B"/>
        </w:tc>
      </w:tr>
      <w:tr w:rsidR="00F82FE3" w14:paraId="694FD26F" w14:textId="77777777" w:rsidTr="00E104D2">
        <w:tc>
          <w:tcPr>
            <w:tcW w:w="2127" w:type="dxa"/>
          </w:tcPr>
          <w:p w14:paraId="38BA8044" w14:textId="77777777" w:rsidR="00F82FE3" w:rsidRDefault="00F82FE3" w:rsidP="00AC7B3B">
            <w:r>
              <w:t>Sound effects (</w:t>
            </w:r>
            <w:r>
              <w:rPr>
                <w:sz w:val="16"/>
              </w:rPr>
              <w:t>harsh and soft, onomatopoeia etc)</w:t>
            </w:r>
          </w:p>
        </w:tc>
        <w:tc>
          <w:tcPr>
            <w:tcW w:w="7745" w:type="dxa"/>
          </w:tcPr>
          <w:p w14:paraId="69DAE158" w14:textId="202FF0AA" w:rsidR="00F82FE3" w:rsidRDefault="00B81048" w:rsidP="00AC7B3B">
            <w:pPr>
              <w:pStyle w:val="ListParagraph"/>
              <w:numPr>
                <w:ilvl w:val="0"/>
                <w:numId w:val="1"/>
              </w:numPr>
            </w:pPr>
            <w:r>
              <w:t>Sounds like a children’s song due to short rhymes and regular rhyme schemes</w:t>
            </w:r>
            <w:r w:rsidR="0007344F">
              <w:t xml:space="preserve"> which emphasises the nature of Byron’s youth, and how he is now growing too old for the lifestyle.</w:t>
            </w:r>
          </w:p>
          <w:p w14:paraId="0D03E409" w14:textId="77777777" w:rsidR="00F82FE3" w:rsidRDefault="00F82FE3" w:rsidP="00AC7B3B"/>
        </w:tc>
      </w:tr>
      <w:tr w:rsidR="00E104D2" w14:paraId="19A689C4" w14:textId="77777777" w:rsidTr="00E104D2">
        <w:tc>
          <w:tcPr>
            <w:tcW w:w="2127" w:type="dxa"/>
          </w:tcPr>
          <w:p w14:paraId="3648C9C3" w14:textId="77777777" w:rsidR="00F82FE3" w:rsidRPr="00893463" w:rsidRDefault="00F82FE3" w:rsidP="00AC7B3B">
            <w:pPr>
              <w:rPr>
                <w:sz w:val="16"/>
              </w:rPr>
            </w:pPr>
            <w:r>
              <w:t>Imagery (</w:t>
            </w:r>
            <w:r>
              <w:rPr>
                <w:sz w:val="16"/>
              </w:rPr>
              <w:t>metaphor, simile, images etc)</w:t>
            </w:r>
          </w:p>
        </w:tc>
        <w:tc>
          <w:tcPr>
            <w:tcW w:w="7745" w:type="dxa"/>
          </w:tcPr>
          <w:p w14:paraId="217104B9" w14:textId="77777777" w:rsidR="00F82FE3" w:rsidRDefault="00F82FE3" w:rsidP="00AC7B3B"/>
          <w:p w14:paraId="07CF009B" w14:textId="582ADEA4" w:rsidR="00F82FE3" w:rsidRDefault="0007344F" w:rsidP="0007344F">
            <w:pPr>
              <w:pStyle w:val="ListParagraph"/>
              <w:numPr>
                <w:ilvl w:val="0"/>
                <w:numId w:val="1"/>
              </w:numPr>
            </w:pPr>
            <w:r>
              <w:t>Fitting with many Byron poems. The “sword outwears its sheath” gives the speaker a heroic ending to his lifestyle.</w:t>
            </w:r>
          </w:p>
          <w:p w14:paraId="7DFACD65" w14:textId="7F7523B7" w:rsidR="00F82FE3" w:rsidRDefault="0007344F" w:rsidP="00AC7B3B">
            <w:pPr>
              <w:pStyle w:val="ListParagraph"/>
              <w:numPr>
                <w:ilvl w:val="0"/>
                <w:numId w:val="1"/>
              </w:numPr>
            </w:pPr>
            <w:r>
              <w:t>Semantic field of night time (night, moon, light, rest)</w:t>
            </w:r>
            <w:bookmarkStart w:id="0" w:name="_GoBack"/>
            <w:bookmarkEnd w:id="0"/>
          </w:p>
        </w:tc>
      </w:tr>
      <w:tr w:rsidR="00E104D2" w14:paraId="0479EAF5" w14:textId="77777777" w:rsidTr="00E104D2">
        <w:tc>
          <w:tcPr>
            <w:tcW w:w="2127" w:type="dxa"/>
          </w:tcPr>
          <w:p w14:paraId="24FFD13D" w14:textId="64A2D656" w:rsidR="00F82FE3" w:rsidRDefault="00F82FE3" w:rsidP="00AC7B3B">
            <w:r>
              <w:t>Patterns of language (</w:t>
            </w:r>
            <w:r w:rsidRPr="00F10B16">
              <w:rPr>
                <w:sz w:val="16"/>
              </w:rPr>
              <w:t>semantic fields, repetitions</w:t>
            </w:r>
            <w:r>
              <w:rPr>
                <w:sz w:val="16"/>
              </w:rPr>
              <w:t>, oppositions</w:t>
            </w:r>
            <w:r>
              <w:t>)</w:t>
            </w:r>
          </w:p>
        </w:tc>
        <w:tc>
          <w:tcPr>
            <w:tcW w:w="7745" w:type="dxa"/>
          </w:tcPr>
          <w:p w14:paraId="050ACB02" w14:textId="77777777" w:rsidR="00F82FE3" w:rsidRDefault="00F82FE3" w:rsidP="00AC7B3B"/>
          <w:p w14:paraId="0A1AC7E6" w14:textId="77777777" w:rsidR="00F82FE3" w:rsidRDefault="00532DEE" w:rsidP="00AC7B3B">
            <w:r>
              <w:t xml:space="preserve">Semantic field of night time: moon, light, night, still </w:t>
            </w:r>
          </w:p>
          <w:p w14:paraId="182BE133" w14:textId="7277E14B" w:rsidR="00532DEE" w:rsidRDefault="00532DEE" w:rsidP="00AC7B3B">
            <w:r>
              <w:t>Repetition of ‘we’ll go no more a roving’. Anaphora adds to the emphasis on and laborious nature of the narrators roving lifestyle.</w:t>
            </w:r>
          </w:p>
          <w:p w14:paraId="4BE82302" w14:textId="11319919" w:rsidR="0007344F" w:rsidRDefault="0007344F" w:rsidP="00AC7B3B">
            <w:r>
              <w:t>Repetition of the word ‘still’ alludes to the approach of death and may have a doubly meaning: ‘still’ implies continuity which may relate to the repetitive nature of roving, however may also allude to death i.e. the stillness of a dead body.</w:t>
            </w:r>
          </w:p>
          <w:p w14:paraId="7483EF22" w14:textId="77777777" w:rsidR="00F82FE3" w:rsidRDefault="00F82FE3" w:rsidP="00AC7B3B"/>
        </w:tc>
      </w:tr>
      <w:tr w:rsidR="00F82FE3" w14:paraId="0284FB1B" w14:textId="77777777" w:rsidTr="00E104D2">
        <w:tc>
          <w:tcPr>
            <w:tcW w:w="2127" w:type="dxa"/>
          </w:tcPr>
          <w:p w14:paraId="5437795E" w14:textId="666B1F31" w:rsidR="00F82FE3" w:rsidRPr="003A248F" w:rsidRDefault="00F82FE3" w:rsidP="00AC7B3B">
            <w:pPr>
              <w:rPr>
                <w:sz w:val="16"/>
              </w:rPr>
            </w:pPr>
            <w:r>
              <w:t>Punctuation and grammar (</w:t>
            </w:r>
            <w:r>
              <w:rPr>
                <w:sz w:val="16"/>
              </w:rPr>
              <w:t>sentence length, end-stopping, caesura, verb mood - imperative, declarative, interrogative, exclamatory)</w:t>
            </w:r>
          </w:p>
        </w:tc>
        <w:tc>
          <w:tcPr>
            <w:tcW w:w="7745" w:type="dxa"/>
          </w:tcPr>
          <w:p w14:paraId="743C602F" w14:textId="4B42DADE" w:rsidR="00F82FE3" w:rsidRPr="0036549D" w:rsidRDefault="00532DEE" w:rsidP="0036549D">
            <w:r>
              <w:t xml:space="preserve">Lack of exclamatory punctuation represents the </w:t>
            </w:r>
            <w:r w:rsidR="0007344F">
              <w:t>narrator’s</w:t>
            </w:r>
            <w:r>
              <w:t xml:space="preserve"> decision to calm down his lifestyle.</w:t>
            </w:r>
            <w:r w:rsidR="0036549D">
              <w:t xml:space="preserve"> It also contributes the calm, accepting mood and tone of the poem as a whole with help from the declarative language. </w:t>
            </w:r>
          </w:p>
        </w:tc>
      </w:tr>
      <w:tr w:rsidR="00F82FE3" w14:paraId="4498218E" w14:textId="77777777" w:rsidTr="00E104D2">
        <w:tc>
          <w:tcPr>
            <w:tcW w:w="2127" w:type="dxa"/>
          </w:tcPr>
          <w:p w14:paraId="42A1EE82" w14:textId="77777777" w:rsidR="00F82FE3" w:rsidRDefault="00F82FE3" w:rsidP="00AC7B3B">
            <w:r>
              <w:t>Links to other poems</w:t>
            </w:r>
          </w:p>
        </w:tc>
        <w:tc>
          <w:tcPr>
            <w:tcW w:w="7745" w:type="dxa"/>
          </w:tcPr>
          <w:p w14:paraId="5947D7CE" w14:textId="77777777" w:rsidR="00F82FE3" w:rsidRDefault="00F82FE3" w:rsidP="00AC7B3B"/>
          <w:p w14:paraId="342EDDDE" w14:textId="77777777" w:rsidR="00F82FE3" w:rsidRDefault="00F82FE3" w:rsidP="00AC7B3B"/>
          <w:p w14:paraId="050253EF" w14:textId="77777777" w:rsidR="00F82FE3" w:rsidRDefault="00F82FE3" w:rsidP="00AC7B3B"/>
          <w:p w14:paraId="455AB9D6" w14:textId="77777777" w:rsidR="00E104D2" w:rsidRDefault="00E104D2" w:rsidP="00AC7B3B"/>
        </w:tc>
      </w:tr>
    </w:tbl>
    <w:p w14:paraId="1B4C241F" w14:textId="77777777" w:rsidR="00F82FE3" w:rsidRDefault="00F82FE3"/>
    <w:sectPr w:rsidR="00F82FE3" w:rsidSect="00E104D2">
      <w:pgSz w:w="11906" w:h="16838"/>
      <w:pgMar w:top="426" w:right="1440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66912"/>
    <w:multiLevelType w:val="hybridMultilevel"/>
    <w:tmpl w:val="26CCDC6E"/>
    <w:lvl w:ilvl="0" w:tplc="D5FA4E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BB"/>
    <w:rsid w:val="00046046"/>
    <w:rsid w:val="0007344F"/>
    <w:rsid w:val="0036549D"/>
    <w:rsid w:val="00374D0A"/>
    <w:rsid w:val="003A248F"/>
    <w:rsid w:val="00496440"/>
    <w:rsid w:val="00532DEE"/>
    <w:rsid w:val="006760BB"/>
    <w:rsid w:val="006C4CC0"/>
    <w:rsid w:val="00746570"/>
    <w:rsid w:val="00870767"/>
    <w:rsid w:val="008929EB"/>
    <w:rsid w:val="00893463"/>
    <w:rsid w:val="008C00DC"/>
    <w:rsid w:val="009517DA"/>
    <w:rsid w:val="00B81048"/>
    <w:rsid w:val="00E104D2"/>
    <w:rsid w:val="00E45B39"/>
    <w:rsid w:val="00F10B16"/>
    <w:rsid w:val="00F8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4DE93"/>
  <w15:chartTrackingRefBased/>
  <w15:docId w15:val="{F6CAEB23-F3D2-4E94-9A36-BBA00BD8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4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ED6E2A-35C6-432F-B377-FD75EDA29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35C216-5BF6-46C7-AD91-D9539E31D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2D79F-0BA0-4A4E-B9F4-F4E0D0315041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AE55B5A7</Template>
  <TotalTime>1</TotalTime>
  <Pages>2</Pages>
  <Words>565</Words>
  <Characters>3223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Kinder</dc:creator>
  <cp:keywords/>
  <dc:description/>
  <cp:lastModifiedBy>David Kinder</cp:lastModifiedBy>
  <cp:revision>2</cp:revision>
  <dcterms:created xsi:type="dcterms:W3CDTF">2017-06-05T12:17:00Z</dcterms:created>
  <dcterms:modified xsi:type="dcterms:W3CDTF">2017-06-05T12:17:00Z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