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37"/>
        <w:tblW w:w="10762" w:type="dxa"/>
        <w:tblLook w:val="04A0" w:firstRow="1" w:lastRow="0" w:firstColumn="1" w:lastColumn="0" w:noHBand="0" w:noVBand="1"/>
      </w:tblPr>
      <w:tblGrid>
        <w:gridCol w:w="1855"/>
        <w:gridCol w:w="3552"/>
        <w:gridCol w:w="5355"/>
      </w:tblGrid>
      <w:tr w:rsidR="008C384C" w14:paraId="17D21ADA" w14:textId="77777777" w:rsidTr="008C384C">
        <w:trPr>
          <w:trHeight w:val="274"/>
        </w:trPr>
        <w:tc>
          <w:tcPr>
            <w:tcW w:w="1855" w:type="dxa"/>
          </w:tcPr>
          <w:p w14:paraId="362448FE" w14:textId="72171A39" w:rsidR="008C384C" w:rsidRDefault="005C2D92" w:rsidP="008C384C">
            <w:r>
              <w:t>Ladies dressed in Muslin</w:t>
            </w:r>
          </w:p>
        </w:tc>
        <w:tc>
          <w:tcPr>
            <w:tcW w:w="3552" w:type="dxa"/>
          </w:tcPr>
          <w:p w14:paraId="29111616" w14:textId="77777777" w:rsidR="008C384C" w:rsidRDefault="008C384C" w:rsidP="008C384C">
            <w:r>
              <w:t>Written when she was 18 yrs. old in 1948</w:t>
            </w:r>
          </w:p>
        </w:tc>
        <w:tc>
          <w:tcPr>
            <w:tcW w:w="5355" w:type="dxa"/>
          </w:tcPr>
          <w:p w14:paraId="0F890D5B" w14:textId="77777777" w:rsidR="008C384C" w:rsidRDefault="008C384C" w:rsidP="008C384C"/>
        </w:tc>
      </w:tr>
      <w:tr w:rsidR="008C384C" w14:paraId="0D922558" w14:textId="77777777" w:rsidTr="008C384C">
        <w:trPr>
          <w:trHeight w:val="785"/>
        </w:trPr>
        <w:tc>
          <w:tcPr>
            <w:tcW w:w="1855" w:type="dxa"/>
          </w:tcPr>
          <w:p w14:paraId="725CD8E9" w14:textId="77777777" w:rsidR="008C384C" w:rsidRPr="008757EA" w:rsidRDefault="008C384C" w:rsidP="008C384C">
            <w:pPr>
              <w:rPr>
                <w:b/>
              </w:rPr>
            </w:pPr>
            <w:r w:rsidRPr="008757EA">
              <w:rPr>
                <w:b/>
              </w:rPr>
              <w:t>Narrative technique identified</w:t>
            </w:r>
          </w:p>
        </w:tc>
        <w:tc>
          <w:tcPr>
            <w:tcW w:w="3552" w:type="dxa"/>
          </w:tcPr>
          <w:p w14:paraId="6EFA59EE" w14:textId="77777777" w:rsidR="008C384C" w:rsidRPr="008757EA" w:rsidRDefault="008C384C" w:rsidP="008C384C">
            <w:pPr>
              <w:rPr>
                <w:b/>
              </w:rPr>
            </w:pPr>
            <w:r w:rsidRPr="008757EA">
              <w:rPr>
                <w:b/>
              </w:rPr>
              <w:t>Relevant quote/s</w:t>
            </w:r>
          </w:p>
        </w:tc>
        <w:tc>
          <w:tcPr>
            <w:tcW w:w="5355" w:type="dxa"/>
          </w:tcPr>
          <w:p w14:paraId="1558DFE6" w14:textId="77777777" w:rsidR="008C384C" w:rsidRPr="008757EA" w:rsidRDefault="008C384C" w:rsidP="008C384C">
            <w:pPr>
              <w:rPr>
                <w:b/>
              </w:rPr>
            </w:pPr>
            <w:r w:rsidRPr="008757EA">
              <w:rPr>
                <w:b/>
              </w:rPr>
              <w:t>Evaluation of technique, how it has been used, meaning and context/influence.</w:t>
            </w:r>
          </w:p>
        </w:tc>
      </w:tr>
      <w:tr w:rsidR="008C384C" w14:paraId="08DC2473" w14:textId="77777777" w:rsidTr="008C384C">
        <w:trPr>
          <w:trHeight w:val="3731"/>
        </w:trPr>
        <w:tc>
          <w:tcPr>
            <w:tcW w:w="1855" w:type="dxa"/>
          </w:tcPr>
          <w:p w14:paraId="3AAF4995" w14:textId="77777777" w:rsidR="008C384C" w:rsidRDefault="008C384C" w:rsidP="008C384C"/>
          <w:p w14:paraId="71A69DD6" w14:textId="77777777" w:rsidR="008C384C" w:rsidRDefault="008C384C" w:rsidP="008C384C"/>
          <w:p w14:paraId="20020A3D" w14:textId="77777777" w:rsidR="008C384C" w:rsidRDefault="008C384C" w:rsidP="008C384C"/>
          <w:p w14:paraId="094F846E" w14:textId="77777777" w:rsidR="008C384C" w:rsidRDefault="008C384C" w:rsidP="008C384C"/>
          <w:p w14:paraId="4A982143" w14:textId="77777777" w:rsidR="008C384C" w:rsidRDefault="008C384C" w:rsidP="008C384C"/>
          <w:p w14:paraId="4940F51C" w14:textId="77777777" w:rsidR="008C384C" w:rsidRDefault="008C384C" w:rsidP="008C384C"/>
          <w:p w14:paraId="5C0810FB" w14:textId="77777777" w:rsidR="008C384C" w:rsidRDefault="008C384C" w:rsidP="008C384C">
            <w:r>
              <w:t>Form(structure)</w:t>
            </w:r>
          </w:p>
          <w:p w14:paraId="3C8056E8" w14:textId="77777777" w:rsidR="008C384C" w:rsidRDefault="008C384C" w:rsidP="008C384C"/>
          <w:p w14:paraId="2292E770" w14:textId="77777777" w:rsidR="008C384C" w:rsidRDefault="008C384C" w:rsidP="008C384C"/>
          <w:p w14:paraId="78C56F67" w14:textId="77777777" w:rsidR="008C384C" w:rsidRDefault="008C384C" w:rsidP="008C384C"/>
          <w:p w14:paraId="494FB9B4" w14:textId="77777777" w:rsidR="008C384C" w:rsidRDefault="008C384C" w:rsidP="008C384C"/>
          <w:p w14:paraId="12940ED4" w14:textId="77777777" w:rsidR="008C384C" w:rsidRDefault="008C384C" w:rsidP="008C384C"/>
          <w:p w14:paraId="550985B9" w14:textId="77777777" w:rsidR="008C384C" w:rsidRDefault="008C384C" w:rsidP="008C384C"/>
        </w:tc>
        <w:tc>
          <w:tcPr>
            <w:tcW w:w="3552" w:type="dxa"/>
          </w:tcPr>
          <w:p w14:paraId="695BF893" w14:textId="77777777" w:rsidR="008C384C" w:rsidRDefault="008C384C" w:rsidP="008C384C">
            <w:pPr>
              <w:rPr>
                <w:rFonts w:ascii="Georgia" w:hAnsi="Georgia"/>
                <w:i/>
                <w:iCs/>
                <w:color w:val="383838"/>
                <w:sz w:val="29"/>
                <w:szCs w:val="29"/>
              </w:rPr>
            </w:pPr>
          </w:p>
          <w:p w14:paraId="085C0E9A" w14:textId="77777777" w:rsidR="008C384C" w:rsidRDefault="008C384C" w:rsidP="008C384C">
            <w:pPr>
              <w:rPr>
                <w:rFonts w:ascii="Georgia" w:hAnsi="Georgia"/>
                <w:i/>
                <w:iCs/>
                <w:color w:val="383838"/>
                <w:sz w:val="29"/>
                <w:szCs w:val="29"/>
              </w:rPr>
            </w:pPr>
          </w:p>
          <w:p w14:paraId="4EA8CC56" w14:textId="77777777" w:rsidR="008C384C" w:rsidRDefault="008C384C" w:rsidP="008C384C">
            <w:pPr>
              <w:rPr>
                <w:rFonts w:ascii="Georgia" w:hAnsi="Georgia"/>
                <w:i/>
                <w:iCs/>
                <w:color w:val="383838"/>
                <w:sz w:val="29"/>
                <w:szCs w:val="29"/>
              </w:rPr>
            </w:pPr>
          </w:p>
          <w:p w14:paraId="3CB3E765" w14:textId="77777777" w:rsidR="008C384C" w:rsidRDefault="008C384C" w:rsidP="008C384C">
            <w:pPr>
              <w:rPr>
                <w:rFonts w:ascii="Georgia" w:hAnsi="Georgia"/>
                <w:i/>
                <w:iCs/>
                <w:color w:val="383838"/>
                <w:sz w:val="29"/>
                <w:szCs w:val="29"/>
              </w:rPr>
            </w:pPr>
          </w:p>
          <w:p w14:paraId="5CC0D399" w14:textId="77777777" w:rsidR="008C384C" w:rsidRDefault="008C384C" w:rsidP="008C384C">
            <w:pPr>
              <w:rPr>
                <w:rFonts w:ascii="Georgia" w:hAnsi="Georgia"/>
                <w:i/>
                <w:iCs/>
                <w:color w:val="383838"/>
                <w:sz w:val="29"/>
                <w:szCs w:val="29"/>
              </w:rPr>
            </w:pPr>
            <w:r>
              <w:rPr>
                <w:rFonts w:ascii="Georgia" w:hAnsi="Georgia"/>
                <w:i/>
                <w:iCs/>
                <w:color w:val="383838"/>
                <w:sz w:val="29"/>
                <w:szCs w:val="29"/>
              </w:rPr>
              <w:t>“With roses and geraniums on their gown</w:t>
            </w:r>
            <w:r>
              <w:rPr>
                <w:rFonts w:ascii="Georgia" w:hAnsi="Georgia"/>
                <w:i/>
                <w:iCs/>
                <w:color w:val="383838"/>
                <w:sz w:val="29"/>
                <w:szCs w:val="29"/>
              </w:rPr>
              <w:br/>
              <w:t xml:space="preserve">Go to the </w:t>
            </w:r>
            <w:proofErr w:type="spellStart"/>
            <w:r>
              <w:rPr>
                <w:rFonts w:ascii="Georgia" w:hAnsi="Georgia"/>
                <w:i/>
                <w:iCs/>
                <w:color w:val="383838"/>
                <w:sz w:val="29"/>
                <w:szCs w:val="29"/>
              </w:rPr>
              <w:t>Bason</w:t>
            </w:r>
            <w:proofErr w:type="spellEnd"/>
            <w:r>
              <w:rPr>
                <w:rFonts w:ascii="Georgia" w:hAnsi="Georgia"/>
                <w:i/>
                <w:iCs/>
                <w:color w:val="383838"/>
                <w:sz w:val="29"/>
                <w:szCs w:val="29"/>
              </w:rPr>
              <w:t>, poke them o’er the rim.”</w:t>
            </w:r>
          </w:p>
          <w:p w14:paraId="6C82807A" w14:textId="77777777" w:rsidR="008C384C" w:rsidRDefault="008C384C" w:rsidP="008C384C"/>
          <w:p w14:paraId="6587B7BD" w14:textId="77777777" w:rsidR="008C384C" w:rsidRPr="00EE3224" w:rsidRDefault="008C384C" w:rsidP="008C384C">
            <w:pPr>
              <w:rPr>
                <w:sz w:val="24"/>
              </w:rPr>
            </w:pPr>
          </w:p>
        </w:tc>
        <w:tc>
          <w:tcPr>
            <w:tcW w:w="5355" w:type="dxa"/>
          </w:tcPr>
          <w:p w14:paraId="22A0AB66" w14:textId="3BD4F995" w:rsidR="008C384C" w:rsidRPr="003B11EC" w:rsidRDefault="008C384C" w:rsidP="008C384C">
            <w:pPr>
              <w:pStyle w:val="NormalWeb"/>
              <w:spacing w:after="210" w:afterAutospacing="0"/>
              <w:rPr>
                <w:rFonts w:asciiTheme="minorHAnsi" w:hAnsiTheme="minorHAnsi" w:cstheme="minorHAnsi"/>
                <w:color w:val="383838"/>
                <w:szCs w:val="29"/>
              </w:rPr>
            </w:pPr>
            <w:r>
              <w:t>At first is appears to be a classic sonnet because it’s a 14 lined poem, split into an octet first 8 lines and then a sestet the last 6 lines. However, the usual sonnet would have a rhyming couplet at</w:t>
            </w:r>
            <w:r w:rsidR="005C2D92">
              <w:t xml:space="preserve"> the end which </w:t>
            </w:r>
            <w:proofErr w:type="spellStart"/>
            <w:r w:rsidR="005C2D92">
              <w:t>Rosetti</w:t>
            </w:r>
            <w:proofErr w:type="spellEnd"/>
            <w:r>
              <w:t xml:space="preserve"> hasn’t used showing it is a Petrarchan sonnet. This may be through her Italian influence from her father, as he was Italian. The 1</w:t>
            </w:r>
            <w:r w:rsidRPr="00B47498">
              <w:rPr>
                <w:vertAlign w:val="superscript"/>
              </w:rPr>
              <w:t>st</w:t>
            </w:r>
            <w:r>
              <w:t xml:space="preserve"> section of the poem or the octoate represented society’s opinions. </w:t>
            </w:r>
            <w:r w:rsidRPr="003B11EC">
              <w:rPr>
                <w:rFonts w:ascii="Times" w:hAnsi="Times"/>
              </w:rPr>
              <w:t>T</w:t>
            </w:r>
            <w:r w:rsidRPr="003B11EC">
              <w:rPr>
                <w:rFonts w:ascii="Times" w:hAnsi="Times" w:cstheme="minorHAnsi"/>
                <w:color w:val="383838"/>
                <w:szCs w:val="29"/>
              </w:rPr>
              <w:t xml:space="preserve">he rhyme scheme is: (A, B, B, A, A, B, B, A, C, D, E, E, </w:t>
            </w:r>
            <w:r>
              <w:rPr>
                <w:rFonts w:ascii="Times" w:hAnsi="Times" w:cstheme="minorHAnsi"/>
                <w:color w:val="383838"/>
                <w:szCs w:val="29"/>
              </w:rPr>
              <w:t>C</w:t>
            </w:r>
            <w:r w:rsidRPr="003B11EC">
              <w:rPr>
                <w:rFonts w:ascii="Times" w:hAnsi="Times" w:cstheme="minorHAnsi"/>
                <w:color w:val="383838"/>
                <w:szCs w:val="29"/>
              </w:rPr>
              <w:t xml:space="preserve">, </w:t>
            </w:r>
            <w:r>
              <w:rPr>
                <w:rFonts w:ascii="Times" w:hAnsi="Times" w:cstheme="minorHAnsi"/>
                <w:color w:val="383838"/>
                <w:szCs w:val="29"/>
              </w:rPr>
              <w:t>D</w:t>
            </w:r>
            <w:r w:rsidRPr="003B11EC">
              <w:rPr>
                <w:rFonts w:ascii="Times" w:hAnsi="Times" w:cstheme="minorHAnsi"/>
                <w:color w:val="383838"/>
                <w:szCs w:val="29"/>
              </w:rPr>
              <w:t>) Note that between ‘A and C’ is the turning point between the octet and sestet, also known as the</w:t>
            </w:r>
            <w:r w:rsidRPr="003B11EC">
              <w:rPr>
                <w:rStyle w:val="apple-converted-space"/>
                <w:rFonts w:ascii="Times" w:hAnsi="Times" w:cstheme="minorHAnsi"/>
                <w:color w:val="383838"/>
                <w:szCs w:val="29"/>
              </w:rPr>
              <w:t> </w:t>
            </w:r>
            <w:r w:rsidRPr="003B11EC">
              <w:rPr>
                <w:rStyle w:val="Emphasis"/>
                <w:rFonts w:ascii="Times" w:hAnsi="Times" w:cstheme="minorHAnsi"/>
                <w:color w:val="383838"/>
                <w:szCs w:val="29"/>
              </w:rPr>
              <w:t>Volta</w:t>
            </w:r>
            <w:r w:rsidRPr="003B11EC">
              <w:rPr>
                <w:rFonts w:ascii="Times" w:hAnsi="Times" w:cstheme="minorHAnsi"/>
                <w:color w:val="383838"/>
                <w:szCs w:val="29"/>
              </w:rPr>
              <w:t>. This turning point is made more significant with the line it is based around “Towering above her sex with horrid height”</w:t>
            </w:r>
          </w:p>
        </w:tc>
      </w:tr>
      <w:tr w:rsidR="008C384C" w14:paraId="46B6C82C" w14:textId="77777777" w:rsidTr="008C384C">
        <w:trPr>
          <w:trHeight w:val="2555"/>
        </w:trPr>
        <w:tc>
          <w:tcPr>
            <w:tcW w:w="1855" w:type="dxa"/>
          </w:tcPr>
          <w:p w14:paraId="006F12B1" w14:textId="77777777" w:rsidR="008C384C" w:rsidRDefault="008C384C" w:rsidP="008C384C"/>
          <w:p w14:paraId="402CCBA5" w14:textId="77777777" w:rsidR="008C384C" w:rsidRDefault="008C384C" w:rsidP="008C384C"/>
          <w:p w14:paraId="118D4D64" w14:textId="77777777" w:rsidR="008C384C" w:rsidRDefault="008C384C" w:rsidP="008C384C"/>
          <w:p w14:paraId="74DEA91A" w14:textId="77777777" w:rsidR="008C384C" w:rsidRDefault="008C384C" w:rsidP="008C384C"/>
          <w:p w14:paraId="1D0A37FE" w14:textId="77777777" w:rsidR="008C384C" w:rsidRDefault="008C384C" w:rsidP="008C384C"/>
          <w:p w14:paraId="2C12D454" w14:textId="77777777" w:rsidR="008C384C" w:rsidRDefault="008C384C" w:rsidP="008C384C">
            <w:r>
              <w:t>Narrator voice</w:t>
            </w:r>
          </w:p>
          <w:p w14:paraId="6968782C" w14:textId="77777777" w:rsidR="008C384C" w:rsidRDefault="008C384C" w:rsidP="008C384C"/>
          <w:p w14:paraId="67D73222" w14:textId="77777777" w:rsidR="008C384C" w:rsidRDefault="008C384C" w:rsidP="008C384C"/>
          <w:p w14:paraId="45AB2FBF" w14:textId="77777777" w:rsidR="008C384C" w:rsidRDefault="008C384C" w:rsidP="008C384C"/>
          <w:p w14:paraId="535393B8" w14:textId="77777777" w:rsidR="008C384C" w:rsidRDefault="008C384C" w:rsidP="008C384C"/>
          <w:p w14:paraId="4856D1CF" w14:textId="77777777" w:rsidR="008C384C" w:rsidRDefault="008C384C" w:rsidP="008C384C"/>
          <w:p w14:paraId="45BBD57B" w14:textId="77777777" w:rsidR="008C384C" w:rsidRDefault="008C384C" w:rsidP="008C384C"/>
        </w:tc>
        <w:tc>
          <w:tcPr>
            <w:tcW w:w="3552" w:type="dxa"/>
          </w:tcPr>
          <w:p w14:paraId="51F99D02" w14:textId="77777777" w:rsidR="008C384C" w:rsidRDefault="008C384C" w:rsidP="008C384C"/>
          <w:p w14:paraId="700940F2" w14:textId="393301A3" w:rsidR="008C384C" w:rsidRDefault="005C2D92" w:rsidP="008C384C">
            <w:pPr>
              <w:rPr>
                <w:rFonts w:ascii="Georgia" w:hAnsi="Georgia"/>
                <w:i/>
                <w:iCs/>
                <w:color w:val="383838"/>
                <w:sz w:val="29"/>
                <w:szCs w:val="29"/>
              </w:rPr>
            </w:pPr>
            <w:r>
              <w:rPr>
                <w:rFonts w:ascii="Georgia" w:hAnsi="Georgia"/>
                <w:i/>
                <w:iCs/>
                <w:color w:val="383838"/>
                <w:sz w:val="29"/>
                <w:szCs w:val="29"/>
              </w:rPr>
              <w:t>(octet</w:t>
            </w:r>
            <w:bookmarkStart w:id="0" w:name="_GoBack"/>
            <w:bookmarkEnd w:id="0"/>
            <w:r w:rsidR="008C384C">
              <w:rPr>
                <w:rFonts w:ascii="Georgia" w:hAnsi="Georgia"/>
                <w:i/>
                <w:iCs/>
                <w:color w:val="383838"/>
                <w:sz w:val="29"/>
                <w:szCs w:val="29"/>
              </w:rPr>
              <w:t>) “Or woman in a great-coat like a sack”</w:t>
            </w:r>
          </w:p>
          <w:p w14:paraId="2E0D8158" w14:textId="77777777" w:rsidR="008C384C" w:rsidRDefault="008C384C" w:rsidP="008C384C"/>
          <w:p w14:paraId="5727E981" w14:textId="77777777" w:rsidR="008C384C" w:rsidRDefault="008C384C" w:rsidP="008C384C"/>
          <w:p w14:paraId="3135E037" w14:textId="77777777" w:rsidR="008C384C" w:rsidRDefault="008C384C" w:rsidP="008C384C">
            <w:r>
              <w:rPr>
                <w:rFonts w:ascii="Georgia" w:hAnsi="Georgia"/>
                <w:i/>
                <w:iCs/>
                <w:color w:val="383838"/>
                <w:sz w:val="29"/>
                <w:szCs w:val="29"/>
              </w:rPr>
              <w:t>(sestet) “Certain old ladies dressed in girlish pink”</w:t>
            </w:r>
          </w:p>
          <w:p w14:paraId="7AE77C76" w14:textId="77777777" w:rsidR="008C384C" w:rsidRPr="003B11EC" w:rsidRDefault="008C384C" w:rsidP="008C384C"/>
        </w:tc>
        <w:tc>
          <w:tcPr>
            <w:tcW w:w="5355" w:type="dxa"/>
          </w:tcPr>
          <w:p w14:paraId="1D9EBCF2" w14:textId="48DEB043" w:rsidR="008C384C" w:rsidRDefault="008C384C" w:rsidP="008C384C">
            <w:pPr>
              <w:rPr>
                <w:rFonts w:ascii="Times" w:hAnsi="Times"/>
                <w:sz w:val="24"/>
              </w:rPr>
            </w:pPr>
            <w:r w:rsidRPr="00982E12">
              <w:rPr>
                <w:rFonts w:ascii="Times" w:hAnsi="Times"/>
                <w:sz w:val="24"/>
              </w:rPr>
              <w:t>We see her being rude to women and really depersonalising herself as a woman, mimicking a man, stereotypical view not narrator’s opinions/ societies. 1st part of t</w:t>
            </w:r>
            <w:r w:rsidR="005C2D92">
              <w:rPr>
                <w:rFonts w:ascii="Times" w:hAnsi="Times"/>
                <w:sz w:val="24"/>
              </w:rPr>
              <w:t>he Petrarchan sonnet the octet</w:t>
            </w:r>
            <w:r w:rsidRPr="00982E12">
              <w:rPr>
                <w:rFonts w:ascii="Times" w:hAnsi="Times"/>
                <w:sz w:val="24"/>
              </w:rPr>
              <w:t xml:space="preserve"> is based on society’s opinions whereas the second part of the Petrarchan son</w:t>
            </w:r>
            <w:r w:rsidR="005C2D92">
              <w:rPr>
                <w:rFonts w:ascii="Times" w:hAnsi="Times"/>
                <w:sz w:val="24"/>
              </w:rPr>
              <w:t xml:space="preserve">net the sestet focuses more on </w:t>
            </w:r>
            <w:proofErr w:type="spellStart"/>
            <w:r w:rsidR="005C2D92">
              <w:rPr>
                <w:rFonts w:ascii="Times" w:hAnsi="Times"/>
                <w:sz w:val="24"/>
              </w:rPr>
              <w:t>Rosetti</w:t>
            </w:r>
            <w:r w:rsidRPr="00982E12">
              <w:rPr>
                <w:rFonts w:ascii="Times" w:hAnsi="Times"/>
                <w:sz w:val="24"/>
              </w:rPr>
              <w:t>’s</w:t>
            </w:r>
            <w:proofErr w:type="spellEnd"/>
            <w:r w:rsidRPr="00982E12">
              <w:rPr>
                <w:rFonts w:ascii="Times" w:hAnsi="Times"/>
                <w:sz w:val="24"/>
              </w:rPr>
              <w:t xml:space="preserve"> own opinions.</w:t>
            </w:r>
          </w:p>
          <w:p w14:paraId="78E00F45" w14:textId="77777777" w:rsidR="008C384C" w:rsidRPr="00982E12" w:rsidRDefault="008C384C" w:rsidP="008C384C">
            <w:pPr>
              <w:rPr>
                <w:rFonts w:ascii="Times" w:hAnsi="Times"/>
                <w:sz w:val="24"/>
              </w:rPr>
            </w:pPr>
          </w:p>
        </w:tc>
      </w:tr>
      <w:tr w:rsidR="008C384C" w14:paraId="50B4B964" w14:textId="77777777" w:rsidTr="008C384C">
        <w:trPr>
          <w:trHeight w:val="2718"/>
        </w:trPr>
        <w:tc>
          <w:tcPr>
            <w:tcW w:w="1855" w:type="dxa"/>
          </w:tcPr>
          <w:p w14:paraId="6D2A0E6F" w14:textId="77777777" w:rsidR="008C384C" w:rsidRDefault="008C384C" w:rsidP="008C384C"/>
          <w:p w14:paraId="017898FC" w14:textId="77777777" w:rsidR="008C384C" w:rsidRDefault="008C384C" w:rsidP="008C384C"/>
          <w:p w14:paraId="0A91BB50" w14:textId="77777777" w:rsidR="008C384C" w:rsidRDefault="008C384C" w:rsidP="008C384C"/>
          <w:p w14:paraId="13CBB5A5" w14:textId="77777777" w:rsidR="008C384C" w:rsidRDefault="008C384C" w:rsidP="008C384C"/>
          <w:p w14:paraId="09044829" w14:textId="77777777" w:rsidR="008C384C" w:rsidRDefault="008C384C" w:rsidP="008C384C"/>
          <w:p w14:paraId="0450F420" w14:textId="77777777" w:rsidR="008C384C" w:rsidRDefault="008C384C" w:rsidP="008C384C">
            <w:r>
              <w:t>Setting</w:t>
            </w:r>
          </w:p>
          <w:p w14:paraId="30B21354" w14:textId="77777777" w:rsidR="008C384C" w:rsidRDefault="008C384C" w:rsidP="008C384C"/>
          <w:p w14:paraId="3A9C5957" w14:textId="77777777" w:rsidR="008C384C" w:rsidRDefault="008C384C" w:rsidP="008C384C"/>
          <w:p w14:paraId="1B1C3C4E" w14:textId="77777777" w:rsidR="008C384C" w:rsidRDefault="008C384C" w:rsidP="008C384C"/>
          <w:p w14:paraId="25424877" w14:textId="77777777" w:rsidR="008C384C" w:rsidRDefault="008C384C" w:rsidP="008C384C"/>
          <w:p w14:paraId="7AE2C5AF" w14:textId="77777777" w:rsidR="008C384C" w:rsidRDefault="008C384C" w:rsidP="008C384C"/>
          <w:p w14:paraId="68C6BD36" w14:textId="77777777" w:rsidR="008C384C" w:rsidRDefault="008C384C" w:rsidP="008C384C"/>
        </w:tc>
        <w:tc>
          <w:tcPr>
            <w:tcW w:w="3552" w:type="dxa"/>
          </w:tcPr>
          <w:p w14:paraId="2B55BD86" w14:textId="77777777" w:rsidR="008C384C" w:rsidRDefault="008C384C" w:rsidP="008C384C">
            <w:pPr>
              <w:rPr>
                <w:rFonts w:ascii="Georgia" w:hAnsi="Georgia"/>
                <w:i/>
                <w:iCs/>
                <w:color w:val="383838"/>
                <w:sz w:val="29"/>
                <w:szCs w:val="29"/>
              </w:rPr>
            </w:pPr>
            <w:r>
              <w:rPr>
                <w:rFonts w:ascii="Georgia" w:hAnsi="Georgia"/>
                <w:i/>
                <w:iCs/>
                <w:color w:val="383838"/>
                <w:sz w:val="29"/>
                <w:szCs w:val="29"/>
              </w:rPr>
              <w:t>“Some patronise a dog-cart”</w:t>
            </w:r>
          </w:p>
          <w:p w14:paraId="13548FA7" w14:textId="77777777" w:rsidR="008C384C" w:rsidRDefault="008C384C" w:rsidP="008C384C"/>
          <w:p w14:paraId="2E17C892" w14:textId="77777777" w:rsidR="008C384C" w:rsidRDefault="008C384C" w:rsidP="008C384C">
            <w:pPr>
              <w:rPr>
                <w:rFonts w:ascii="Georgia" w:hAnsi="Georgia"/>
                <w:i/>
                <w:iCs/>
                <w:color w:val="383838"/>
                <w:sz w:val="29"/>
                <w:szCs w:val="29"/>
              </w:rPr>
            </w:pPr>
            <w:r>
              <w:rPr>
                <w:rFonts w:ascii="Georgia" w:hAnsi="Georgia"/>
                <w:i/>
                <w:iCs/>
                <w:color w:val="383838"/>
                <w:sz w:val="29"/>
                <w:szCs w:val="29"/>
              </w:rPr>
              <w:t>“Some ladies dress in muslin full and white,”</w:t>
            </w:r>
          </w:p>
          <w:p w14:paraId="617646C7" w14:textId="77777777" w:rsidR="008C384C" w:rsidRDefault="008C384C" w:rsidP="008C384C"/>
          <w:p w14:paraId="716675F4" w14:textId="1565DE24" w:rsidR="008C384C" w:rsidRDefault="008C384C" w:rsidP="008C384C">
            <w:r>
              <w:rPr>
                <w:rFonts w:ascii="Georgia" w:hAnsi="Georgia"/>
                <w:i/>
                <w:iCs/>
                <w:color w:val="383838"/>
                <w:sz w:val="29"/>
                <w:szCs w:val="29"/>
              </w:rPr>
              <w:t>“Or woman in a great-coat like a sack”</w:t>
            </w:r>
          </w:p>
        </w:tc>
        <w:tc>
          <w:tcPr>
            <w:tcW w:w="5355" w:type="dxa"/>
          </w:tcPr>
          <w:p w14:paraId="02C81405" w14:textId="77777777" w:rsidR="008C384C" w:rsidRPr="008C384C" w:rsidRDefault="008C384C" w:rsidP="008C384C">
            <w:pPr>
              <w:rPr>
                <w:rFonts w:ascii="Times" w:hAnsi="Times"/>
              </w:rPr>
            </w:pPr>
            <w:r w:rsidRPr="008C384C">
              <w:rPr>
                <w:rFonts w:ascii="Times" w:hAnsi="Times"/>
              </w:rPr>
              <w:t>Busy market high street focuses on the presentation of gender in the everyday. It is also the clearest interaction between the social classes of high class and low class, as we see people serving other people.</w:t>
            </w:r>
          </w:p>
        </w:tc>
      </w:tr>
      <w:tr w:rsidR="008C384C" w14:paraId="5D801300" w14:textId="77777777" w:rsidTr="008C384C">
        <w:trPr>
          <w:trHeight w:val="3154"/>
        </w:trPr>
        <w:tc>
          <w:tcPr>
            <w:tcW w:w="1855" w:type="dxa"/>
          </w:tcPr>
          <w:p w14:paraId="4039064D" w14:textId="77777777" w:rsidR="008C384C" w:rsidRDefault="008C384C" w:rsidP="008C384C"/>
          <w:p w14:paraId="66B381B3" w14:textId="77777777" w:rsidR="008C384C" w:rsidRDefault="008C384C" w:rsidP="008C384C"/>
          <w:p w14:paraId="0F83A60B" w14:textId="77777777" w:rsidR="008C384C" w:rsidRDefault="008C384C" w:rsidP="008C384C"/>
          <w:p w14:paraId="4885AAB2" w14:textId="77777777" w:rsidR="008C384C" w:rsidRDefault="008C384C" w:rsidP="008C384C"/>
          <w:p w14:paraId="4AF23911" w14:textId="77777777" w:rsidR="008C384C" w:rsidRDefault="008C384C" w:rsidP="008C384C"/>
          <w:p w14:paraId="4984292D" w14:textId="77777777" w:rsidR="008C384C" w:rsidRDefault="008C384C" w:rsidP="008C384C">
            <w:r>
              <w:t>Symbolism</w:t>
            </w:r>
          </w:p>
          <w:p w14:paraId="6E2C81AE" w14:textId="77777777" w:rsidR="008C384C" w:rsidRDefault="008C384C" w:rsidP="008C384C"/>
          <w:p w14:paraId="3C77E45A" w14:textId="77777777" w:rsidR="008C384C" w:rsidRDefault="008C384C" w:rsidP="008C384C"/>
          <w:p w14:paraId="5E801926" w14:textId="77777777" w:rsidR="008C384C" w:rsidRDefault="008C384C" w:rsidP="008C384C"/>
          <w:p w14:paraId="7351B971" w14:textId="77777777" w:rsidR="008C384C" w:rsidRDefault="008C384C" w:rsidP="008C384C"/>
          <w:p w14:paraId="214420CF" w14:textId="77777777" w:rsidR="008C384C" w:rsidRDefault="008C384C" w:rsidP="008C384C"/>
          <w:p w14:paraId="4DAB694F" w14:textId="77777777" w:rsidR="008C384C" w:rsidRDefault="008C384C" w:rsidP="008C384C"/>
        </w:tc>
        <w:tc>
          <w:tcPr>
            <w:tcW w:w="3552" w:type="dxa"/>
          </w:tcPr>
          <w:p w14:paraId="01997F95" w14:textId="77777777" w:rsidR="00932422" w:rsidRDefault="00932422" w:rsidP="00932422">
            <w:pPr>
              <w:rPr>
                <w:rFonts w:ascii="Georgia" w:hAnsi="Georgia"/>
                <w:i/>
                <w:iCs/>
                <w:color w:val="383838"/>
                <w:sz w:val="29"/>
                <w:szCs w:val="29"/>
              </w:rPr>
            </w:pPr>
          </w:p>
          <w:p w14:paraId="4E62E02C" w14:textId="4E0CE878" w:rsidR="00932422" w:rsidRDefault="00932422" w:rsidP="00932422">
            <w:r>
              <w:rPr>
                <w:rFonts w:ascii="Georgia" w:hAnsi="Georgia"/>
                <w:i/>
                <w:iCs/>
                <w:color w:val="383838"/>
                <w:sz w:val="29"/>
                <w:szCs w:val="29"/>
              </w:rPr>
              <w:t>“Towering above her sex with horrid height.”</w:t>
            </w:r>
          </w:p>
          <w:p w14:paraId="43F3D9CF" w14:textId="77777777" w:rsidR="008C384C" w:rsidRDefault="008C384C" w:rsidP="008C384C"/>
        </w:tc>
        <w:tc>
          <w:tcPr>
            <w:tcW w:w="5355" w:type="dxa"/>
          </w:tcPr>
          <w:p w14:paraId="4691ABFE" w14:textId="0530AE0F" w:rsidR="008C384C" w:rsidRDefault="00932422" w:rsidP="008C384C">
            <w:r>
              <w:t>Levels in height showing imbalance between genders, how many frown upon a taller women as it shows control that she shouldn’t have, this alter meaning to the women’s height showing power may be rosette’s way of having two alter readings one that is read by men of the time as seeing her agree with the views that the women is “horrid” for this power control. Or a feminist view inciting that women can have this power over men.</w:t>
            </w:r>
          </w:p>
        </w:tc>
      </w:tr>
    </w:tbl>
    <w:p w14:paraId="3F16FF83" w14:textId="77777777" w:rsidR="006522E3" w:rsidRDefault="006522E3" w:rsidP="00F34F72"/>
    <w:sectPr w:rsidR="006522E3" w:rsidSect="00716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5919"/>
    <w:multiLevelType w:val="hybridMultilevel"/>
    <w:tmpl w:val="BC2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E5FE8"/>
    <w:multiLevelType w:val="hybridMultilevel"/>
    <w:tmpl w:val="142C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72"/>
    <w:rsid w:val="001513C3"/>
    <w:rsid w:val="001D05E8"/>
    <w:rsid w:val="001D24C7"/>
    <w:rsid w:val="003B11EC"/>
    <w:rsid w:val="0053286C"/>
    <w:rsid w:val="005C2D92"/>
    <w:rsid w:val="00624F96"/>
    <w:rsid w:val="006522E3"/>
    <w:rsid w:val="006720EC"/>
    <w:rsid w:val="00716753"/>
    <w:rsid w:val="008308CF"/>
    <w:rsid w:val="008757EA"/>
    <w:rsid w:val="008C384C"/>
    <w:rsid w:val="008E2433"/>
    <w:rsid w:val="00932422"/>
    <w:rsid w:val="00982E12"/>
    <w:rsid w:val="00B47498"/>
    <w:rsid w:val="00C67E06"/>
    <w:rsid w:val="00CF7924"/>
    <w:rsid w:val="00D019EA"/>
    <w:rsid w:val="00DA6C0F"/>
    <w:rsid w:val="00E63282"/>
    <w:rsid w:val="00EE3224"/>
    <w:rsid w:val="00F3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1BD2"/>
  <w15:chartTrackingRefBased/>
  <w15:docId w15:val="{F3EB34FE-0E08-46CE-A379-9FC0443C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F72"/>
    <w:pPr>
      <w:ind w:left="720"/>
      <w:contextualSpacing/>
    </w:pPr>
  </w:style>
  <w:style w:type="table" w:styleId="TableGrid">
    <w:name w:val="Table Grid"/>
    <w:basedOn w:val="TableNormal"/>
    <w:uiPriority w:val="39"/>
    <w:rsid w:val="0065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1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11EC"/>
  </w:style>
  <w:style w:type="character" w:styleId="Emphasis">
    <w:name w:val="Emphasis"/>
    <w:basedOn w:val="DefaultParagraphFont"/>
    <w:uiPriority w:val="20"/>
    <w:qFormat/>
    <w:rsid w:val="003B11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8381">
      <w:bodyDiv w:val="1"/>
      <w:marLeft w:val="0"/>
      <w:marRight w:val="0"/>
      <w:marTop w:val="0"/>
      <w:marBottom w:val="0"/>
      <w:divBdr>
        <w:top w:val="none" w:sz="0" w:space="0" w:color="auto"/>
        <w:left w:val="none" w:sz="0" w:space="0" w:color="auto"/>
        <w:bottom w:val="none" w:sz="0" w:space="0" w:color="auto"/>
        <w:right w:val="none" w:sz="0" w:space="0" w:color="auto"/>
      </w:divBdr>
    </w:div>
    <w:div w:id="614482697">
      <w:bodyDiv w:val="1"/>
      <w:marLeft w:val="0"/>
      <w:marRight w:val="0"/>
      <w:marTop w:val="0"/>
      <w:marBottom w:val="0"/>
      <w:divBdr>
        <w:top w:val="none" w:sz="0" w:space="0" w:color="auto"/>
        <w:left w:val="none" w:sz="0" w:space="0" w:color="auto"/>
        <w:bottom w:val="none" w:sz="0" w:space="0" w:color="auto"/>
        <w:right w:val="none" w:sz="0" w:space="0" w:color="auto"/>
      </w:divBdr>
    </w:div>
    <w:div w:id="633366846">
      <w:bodyDiv w:val="1"/>
      <w:marLeft w:val="0"/>
      <w:marRight w:val="0"/>
      <w:marTop w:val="0"/>
      <w:marBottom w:val="0"/>
      <w:divBdr>
        <w:top w:val="none" w:sz="0" w:space="0" w:color="auto"/>
        <w:left w:val="none" w:sz="0" w:space="0" w:color="auto"/>
        <w:bottom w:val="none" w:sz="0" w:space="0" w:color="auto"/>
        <w:right w:val="none" w:sz="0" w:space="0" w:color="auto"/>
      </w:divBdr>
    </w:div>
    <w:div w:id="799617456">
      <w:bodyDiv w:val="1"/>
      <w:marLeft w:val="0"/>
      <w:marRight w:val="0"/>
      <w:marTop w:val="0"/>
      <w:marBottom w:val="0"/>
      <w:divBdr>
        <w:top w:val="none" w:sz="0" w:space="0" w:color="auto"/>
        <w:left w:val="none" w:sz="0" w:space="0" w:color="auto"/>
        <w:bottom w:val="none" w:sz="0" w:space="0" w:color="auto"/>
        <w:right w:val="none" w:sz="0" w:space="0" w:color="auto"/>
      </w:divBdr>
    </w:div>
    <w:div w:id="1237548858">
      <w:bodyDiv w:val="1"/>
      <w:marLeft w:val="0"/>
      <w:marRight w:val="0"/>
      <w:marTop w:val="0"/>
      <w:marBottom w:val="0"/>
      <w:divBdr>
        <w:top w:val="none" w:sz="0" w:space="0" w:color="auto"/>
        <w:left w:val="none" w:sz="0" w:space="0" w:color="auto"/>
        <w:bottom w:val="none" w:sz="0" w:space="0" w:color="auto"/>
        <w:right w:val="none" w:sz="0" w:space="0" w:color="auto"/>
      </w:divBdr>
    </w:div>
    <w:div w:id="1854105471">
      <w:bodyDiv w:val="1"/>
      <w:marLeft w:val="0"/>
      <w:marRight w:val="0"/>
      <w:marTop w:val="0"/>
      <w:marBottom w:val="0"/>
      <w:divBdr>
        <w:top w:val="none" w:sz="0" w:space="0" w:color="auto"/>
        <w:left w:val="none" w:sz="0" w:space="0" w:color="auto"/>
        <w:bottom w:val="none" w:sz="0" w:space="0" w:color="auto"/>
        <w:right w:val="none" w:sz="0" w:space="0" w:color="auto"/>
      </w:divBdr>
    </w:div>
    <w:div w:id="1921790004">
      <w:bodyDiv w:val="1"/>
      <w:marLeft w:val="0"/>
      <w:marRight w:val="0"/>
      <w:marTop w:val="0"/>
      <w:marBottom w:val="0"/>
      <w:divBdr>
        <w:top w:val="none" w:sz="0" w:space="0" w:color="auto"/>
        <w:left w:val="none" w:sz="0" w:space="0" w:color="auto"/>
        <w:bottom w:val="none" w:sz="0" w:space="0" w:color="auto"/>
        <w:right w:val="none" w:sz="0" w:space="0" w:color="auto"/>
      </w:divBdr>
    </w:div>
    <w:div w:id="1973749511">
      <w:bodyDiv w:val="1"/>
      <w:marLeft w:val="0"/>
      <w:marRight w:val="0"/>
      <w:marTop w:val="0"/>
      <w:marBottom w:val="0"/>
      <w:divBdr>
        <w:top w:val="none" w:sz="0" w:space="0" w:color="auto"/>
        <w:left w:val="none" w:sz="0" w:space="0" w:color="auto"/>
        <w:bottom w:val="none" w:sz="0" w:space="0" w:color="auto"/>
        <w:right w:val="none" w:sz="0" w:space="0" w:color="auto"/>
      </w:divBdr>
    </w:div>
    <w:div w:id="2010063006">
      <w:bodyDiv w:val="1"/>
      <w:marLeft w:val="0"/>
      <w:marRight w:val="0"/>
      <w:marTop w:val="0"/>
      <w:marBottom w:val="0"/>
      <w:divBdr>
        <w:top w:val="none" w:sz="0" w:space="0" w:color="auto"/>
        <w:left w:val="none" w:sz="0" w:space="0" w:color="auto"/>
        <w:bottom w:val="none" w:sz="0" w:space="0" w:color="auto"/>
        <w:right w:val="none" w:sz="0" w:space="0" w:color="auto"/>
      </w:divBdr>
    </w:div>
    <w:div w:id="20528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2063415E</Template>
  <TotalTime>1</TotalTime>
  <Pages>2</Pages>
  <Words>347</Words>
  <Characters>1978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2019-02-25T10:57:00Z</dcterms:created>
  <dcterms:modified xsi:type="dcterms:W3CDTF">2019-02-25T10:57:00Z</dcterms:modified>
</cp:coreProperties>
</file>