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4A" w:rsidRDefault="0059416D" w:rsidP="00594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opening of </w:t>
      </w:r>
      <w:r w:rsidRPr="0059416D">
        <w:rPr>
          <w:rFonts w:ascii="Times New Roman" w:hAnsi="Times New Roman" w:cs="Times New Roman"/>
          <w:b/>
          <w:i/>
          <w:sz w:val="24"/>
          <w:szCs w:val="24"/>
        </w:rPr>
        <w:t>Why Be Happy…?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9416D" w:rsidRDefault="0059416D" w:rsidP="00594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well-established novelist, Jeanette Winterson employs many features associated with literary, creative writing in</w:t>
      </w:r>
      <w:r w:rsidR="00A66EA5">
        <w:rPr>
          <w:rFonts w:ascii="Times New Roman" w:hAnsi="Times New Roman" w:cs="Times New Roman"/>
          <w:sz w:val="24"/>
          <w:szCs w:val="24"/>
        </w:rPr>
        <w:t xml:space="preserve"> her non-fiction autobiography to make it more engaging.</w:t>
      </w:r>
    </w:p>
    <w:p w:rsidR="0059416D" w:rsidRDefault="00A66EA5" w:rsidP="00594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course, these features form part of a much larger repertoire of stylistic features</w:t>
      </w:r>
      <w:r w:rsidR="007E2F05">
        <w:rPr>
          <w:rFonts w:ascii="Times New Roman" w:hAnsi="Times New Roman" w:cs="Times New Roman"/>
          <w:sz w:val="24"/>
          <w:szCs w:val="24"/>
        </w:rPr>
        <w:t xml:space="preserve"> and generic features associated with autobiography</w:t>
      </w:r>
      <w:r>
        <w:rPr>
          <w:rFonts w:ascii="Times New Roman" w:hAnsi="Times New Roman" w:cs="Times New Roman"/>
          <w:sz w:val="24"/>
          <w:szCs w:val="24"/>
        </w:rPr>
        <w:t xml:space="preserve"> which add to the text’s impact. </w:t>
      </w:r>
    </w:p>
    <w:p w:rsidR="0059416D" w:rsidRDefault="0059416D" w:rsidP="00594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through the first pages and try to identify the following </w:t>
      </w:r>
      <w:r w:rsidR="00A66EA5">
        <w:rPr>
          <w:rFonts w:ascii="Times New Roman" w:hAnsi="Times New Roman" w:cs="Times New Roman"/>
          <w:sz w:val="24"/>
          <w:szCs w:val="24"/>
        </w:rPr>
        <w:t xml:space="preserve">stylistic </w:t>
      </w:r>
      <w:r>
        <w:rPr>
          <w:rFonts w:ascii="Times New Roman" w:hAnsi="Times New Roman" w:cs="Times New Roman"/>
          <w:sz w:val="24"/>
          <w:szCs w:val="24"/>
        </w:rPr>
        <w:t xml:space="preserve">features, thinking about what the effects are. </w:t>
      </w:r>
    </w:p>
    <w:p w:rsidR="0059416D" w:rsidRDefault="0059416D" w:rsidP="005941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343"/>
      </w:tblGrid>
      <w:tr w:rsidR="0059416D" w:rsidTr="0059416D">
        <w:tc>
          <w:tcPr>
            <w:tcW w:w="1838" w:type="dxa"/>
          </w:tcPr>
          <w:p w:rsidR="0059416D" w:rsidRPr="0059416D" w:rsidRDefault="0059416D" w:rsidP="0059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b/>
                <w:sz w:val="24"/>
                <w:szCs w:val="24"/>
              </w:rPr>
              <w:t>Feature</w:t>
            </w:r>
          </w:p>
        </w:tc>
        <w:tc>
          <w:tcPr>
            <w:tcW w:w="2835" w:type="dxa"/>
          </w:tcPr>
          <w:p w:rsidR="0059416D" w:rsidRPr="0059416D" w:rsidRDefault="0059416D" w:rsidP="0059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  <w:tc>
          <w:tcPr>
            <w:tcW w:w="4343" w:type="dxa"/>
          </w:tcPr>
          <w:p w:rsidR="0059416D" w:rsidRPr="0059416D" w:rsidRDefault="0059416D" w:rsidP="0059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b/>
                <w:sz w:val="24"/>
                <w:szCs w:val="24"/>
              </w:rPr>
              <w:t>Possible effects</w:t>
            </w:r>
          </w:p>
        </w:tc>
      </w:tr>
      <w:tr w:rsidR="0059416D" w:rsidTr="0059416D">
        <w:tc>
          <w:tcPr>
            <w:tcW w:w="1838" w:type="dxa"/>
          </w:tcPr>
          <w:p w:rsidR="0059416D" w:rsidRDefault="005941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Oxymoron/ contrast/ </w:t>
            </w:r>
            <w:r w:rsidR="00A66EA5">
              <w:rPr>
                <w:rFonts w:ascii="Times New Roman" w:hAnsi="Times New Roman" w:cs="Times New Roman"/>
                <w:sz w:val="24"/>
                <w:szCs w:val="24"/>
              </w:rPr>
              <w:t>juxtaposition</w:t>
            </w:r>
          </w:p>
        </w:tc>
        <w:tc>
          <w:tcPr>
            <w:tcW w:w="2835" w:type="dxa"/>
          </w:tcPr>
          <w:p w:rsidR="0059416D" w:rsidRDefault="00A66EA5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 flamboyant depressive”;</w:t>
            </w:r>
          </w:p>
          <w:p w:rsidR="00A66EA5" w:rsidRDefault="00A66EA5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 woman who kept a revolver in the duster drawer”</w:t>
            </w:r>
          </w:p>
        </w:tc>
        <w:tc>
          <w:tcPr>
            <w:tcW w:w="4343" w:type="dxa"/>
          </w:tcPr>
          <w:p w:rsidR="0059416D" w:rsidRDefault="00A66EA5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Mother comes across as contradictory, difficult, dangerous, unpredictable and hypocritical. There is also the sense that she has provided a lot of the flamboyance and theatricality that has fuelled Winterson’s storytelling</w:t>
            </w:r>
          </w:p>
        </w:tc>
      </w:tr>
      <w:tr w:rsidR="0059416D" w:rsidTr="0059416D">
        <w:tc>
          <w:tcPr>
            <w:tcW w:w="1838" w:type="dxa"/>
          </w:tcPr>
          <w:p w:rsidR="0059416D" w:rsidRDefault="00EF43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associated with religion.</w:t>
            </w:r>
          </w:p>
        </w:tc>
        <w:tc>
          <w:tcPr>
            <w:tcW w:w="2835" w:type="dxa"/>
          </w:tcPr>
          <w:p w:rsidR="0059416D" w:rsidRDefault="005941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59416D" w:rsidRDefault="005941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6D" w:rsidTr="0059416D">
        <w:tc>
          <w:tcPr>
            <w:tcW w:w="1838" w:type="dxa"/>
          </w:tcPr>
          <w:p w:rsidR="0059416D" w:rsidRDefault="00EF43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associated with conflict and combat.</w:t>
            </w:r>
          </w:p>
        </w:tc>
        <w:tc>
          <w:tcPr>
            <w:tcW w:w="2835" w:type="dxa"/>
          </w:tcPr>
          <w:p w:rsidR="0059416D" w:rsidRDefault="005941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59416D" w:rsidRDefault="005941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6D" w:rsidTr="0059416D">
        <w:tc>
          <w:tcPr>
            <w:tcW w:w="1838" w:type="dxa"/>
          </w:tcPr>
          <w:p w:rsidR="0059416D" w:rsidRDefault="00EF43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Listing.</w:t>
            </w:r>
          </w:p>
          <w:p w:rsidR="00EF436D" w:rsidRDefault="00EF43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36D" w:rsidRDefault="00EF43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16D" w:rsidRDefault="005941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59416D" w:rsidRDefault="005941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6D" w:rsidTr="0059416D">
        <w:tc>
          <w:tcPr>
            <w:tcW w:w="1838" w:type="dxa"/>
          </w:tcPr>
          <w:p w:rsidR="0059416D" w:rsidRDefault="00EF43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Simile</w:t>
            </w:r>
          </w:p>
          <w:p w:rsidR="00EF436D" w:rsidRDefault="00EF43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36D" w:rsidRDefault="00EF43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16D" w:rsidRDefault="005941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59416D" w:rsidRDefault="005941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6D" w:rsidTr="0059416D">
        <w:tc>
          <w:tcPr>
            <w:tcW w:w="1838" w:type="dxa"/>
          </w:tcPr>
          <w:p w:rsidR="0059416D" w:rsidRDefault="00EF436D" w:rsidP="00E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metaphorical/ figurative features.</w:t>
            </w:r>
          </w:p>
        </w:tc>
        <w:tc>
          <w:tcPr>
            <w:tcW w:w="2835" w:type="dxa"/>
          </w:tcPr>
          <w:p w:rsidR="0059416D" w:rsidRDefault="005941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59416D" w:rsidRDefault="005941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6D" w:rsidTr="0059416D">
        <w:tc>
          <w:tcPr>
            <w:tcW w:w="1838" w:type="dxa"/>
          </w:tcPr>
          <w:p w:rsidR="0059416D" w:rsidRDefault="00EF43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pronouns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‘I’ vs ‘we’)</w:t>
            </w:r>
          </w:p>
          <w:p w:rsidR="00EF436D" w:rsidRDefault="00EF43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36D" w:rsidRDefault="00EF43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16D" w:rsidRDefault="005941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59416D" w:rsidRDefault="005941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6D" w:rsidTr="0059416D">
        <w:tc>
          <w:tcPr>
            <w:tcW w:w="1838" w:type="dxa"/>
          </w:tcPr>
          <w:p w:rsidR="00EF436D" w:rsidRDefault="007E2F05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sense of a voice speaking to us.</w:t>
            </w:r>
          </w:p>
          <w:p w:rsidR="007E2F05" w:rsidRDefault="007E2F05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436D" w:rsidRDefault="00EF43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EF436D" w:rsidRDefault="00EF43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6D" w:rsidTr="0059416D">
        <w:tc>
          <w:tcPr>
            <w:tcW w:w="1838" w:type="dxa"/>
          </w:tcPr>
          <w:p w:rsidR="00EF436D" w:rsidRDefault="007E2F05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Shift from 1</w:t>
            </w:r>
            <w:r w:rsidRPr="007E2F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3</w:t>
            </w:r>
            <w:r w:rsidRPr="007E2F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person.</w:t>
            </w:r>
          </w:p>
          <w:p w:rsidR="007E2F05" w:rsidRDefault="007E2F05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5" w:rsidRDefault="007E2F05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436D" w:rsidRDefault="00EF43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EF436D" w:rsidRDefault="00EF43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6D" w:rsidTr="0059416D">
        <w:tc>
          <w:tcPr>
            <w:tcW w:w="1838" w:type="dxa"/>
          </w:tcPr>
          <w:p w:rsidR="00EF436D" w:rsidRDefault="007E2F05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 of repetition (including anaphora)</w:t>
            </w:r>
          </w:p>
          <w:p w:rsidR="007E2F05" w:rsidRDefault="007E2F05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436D" w:rsidRDefault="00EF43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EF436D" w:rsidRDefault="00EF43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6D" w:rsidTr="0059416D">
        <w:tc>
          <w:tcPr>
            <w:tcW w:w="1838" w:type="dxa"/>
          </w:tcPr>
          <w:p w:rsidR="00EF436D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Humour/ irony</w:t>
            </w:r>
          </w:p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436D" w:rsidRDefault="00EF43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EF436D" w:rsidRDefault="00EF436D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B0" w:rsidTr="0059416D">
        <w:tc>
          <w:tcPr>
            <w:tcW w:w="1838" w:type="dxa"/>
          </w:tcPr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Shifts in chronology</w:t>
            </w:r>
          </w:p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B0" w:rsidTr="0059416D">
        <w:tc>
          <w:tcPr>
            <w:tcW w:w="1838" w:type="dxa"/>
          </w:tcPr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sentences for impact.</w:t>
            </w:r>
          </w:p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B0" w:rsidTr="0059416D">
        <w:tc>
          <w:tcPr>
            <w:tcW w:w="1838" w:type="dxa"/>
          </w:tcPr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Climax</w:t>
            </w:r>
          </w:p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B0" w:rsidTr="0059416D">
        <w:tc>
          <w:tcPr>
            <w:tcW w:w="1838" w:type="dxa"/>
          </w:tcPr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Shifts in tense</w:t>
            </w:r>
          </w:p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B0" w:rsidTr="0059416D">
        <w:tc>
          <w:tcPr>
            <w:tcW w:w="1838" w:type="dxa"/>
          </w:tcPr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Dates </w:t>
            </w:r>
          </w:p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B0" w:rsidTr="0059416D">
        <w:tc>
          <w:tcPr>
            <w:tcW w:w="1838" w:type="dxa"/>
          </w:tcPr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Cultural/ historical references</w:t>
            </w:r>
          </w:p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B0" w:rsidTr="0059416D">
        <w:tc>
          <w:tcPr>
            <w:tcW w:w="1838" w:type="dxa"/>
          </w:tcPr>
          <w:p w:rsidR="00C029B0" w:rsidRDefault="001C1F52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colloquial or informal vocabulary and references</w:t>
            </w:r>
          </w:p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C029B0" w:rsidRDefault="00C029B0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52" w:rsidTr="0059416D">
        <w:tc>
          <w:tcPr>
            <w:tcW w:w="1838" w:type="dxa"/>
          </w:tcPr>
          <w:p w:rsidR="001C1F52" w:rsidRDefault="001C1F52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E619D">
              <w:rPr>
                <w:rFonts w:ascii="Times New Roman" w:hAnsi="Times New Roman" w:cs="Times New Roman"/>
                <w:sz w:val="24"/>
                <w:szCs w:val="24"/>
              </w:rPr>
              <w:t>ophisticated vocabulary and description.</w:t>
            </w:r>
            <w:bookmarkStart w:id="0" w:name="_GoBack"/>
            <w:bookmarkEnd w:id="0"/>
          </w:p>
          <w:p w:rsidR="001C1F52" w:rsidRDefault="001C1F52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52" w:rsidRDefault="001C1F52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52" w:rsidRDefault="001C1F52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52" w:rsidRDefault="001C1F52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1F52" w:rsidRDefault="001C1F52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C1F52" w:rsidRDefault="001C1F52" w:rsidP="005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16D" w:rsidRPr="0059416D" w:rsidRDefault="0059416D" w:rsidP="0059416D">
      <w:pPr>
        <w:rPr>
          <w:rFonts w:ascii="Times New Roman" w:hAnsi="Times New Roman" w:cs="Times New Roman"/>
          <w:sz w:val="24"/>
          <w:szCs w:val="24"/>
        </w:rPr>
      </w:pPr>
    </w:p>
    <w:sectPr w:rsidR="0059416D" w:rsidRPr="00594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6D"/>
    <w:rsid w:val="001C1F52"/>
    <w:rsid w:val="0059416D"/>
    <w:rsid w:val="007E2F05"/>
    <w:rsid w:val="009E619D"/>
    <w:rsid w:val="00A66EA5"/>
    <w:rsid w:val="00C029B0"/>
    <w:rsid w:val="00EF436D"/>
    <w:rsid w:val="00F8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70C51-6B1E-4530-8A6F-7F6DBBBB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AAC0D74C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2017-06-20T11:45:00Z</dcterms:created>
  <dcterms:modified xsi:type="dcterms:W3CDTF">2017-06-20T11:45:00Z</dcterms:modified>
</cp:coreProperties>
</file>