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7"/>
        <w:gridCol w:w="1473"/>
        <w:gridCol w:w="6682"/>
      </w:tblGrid>
      <w:tr w:rsidR="00B73C4A" w:rsidRPr="009A6CD1" w:rsidTr="00322DBF">
        <w:tc>
          <w:tcPr>
            <w:tcW w:w="5000" w:type="pct"/>
            <w:gridSpan w:val="3"/>
            <w:tcBorders>
              <w:top w:val="double" w:sz="4" w:space="0" w:color="auto"/>
              <w:left w:val="double" w:sz="4" w:space="0" w:color="auto"/>
              <w:bottom w:val="nil"/>
              <w:right w:val="double" w:sz="4" w:space="0" w:color="auto"/>
            </w:tcBorders>
          </w:tcPr>
          <w:p w:rsidR="00B73C4A" w:rsidRPr="009A6CD1" w:rsidRDefault="00B73C4A" w:rsidP="00322DBF">
            <w:pPr>
              <w:jc w:val="center"/>
              <w:rPr>
                <w:rFonts w:ascii="Arial" w:hAnsi="Arial" w:cs="Arial"/>
                <w:b/>
              </w:rPr>
            </w:pPr>
            <w:r w:rsidRPr="009A6CD1">
              <w:rPr>
                <w:rFonts w:ascii="Arial" w:hAnsi="Arial" w:cs="Arial"/>
                <w:b/>
              </w:rPr>
              <w:t>Lesson Number</w:t>
            </w:r>
            <w:r>
              <w:rPr>
                <w:rFonts w:ascii="Arial" w:hAnsi="Arial" w:cs="Arial"/>
                <w:b/>
              </w:rPr>
              <w:t>: 26.3a</w:t>
            </w:r>
          </w:p>
        </w:tc>
      </w:tr>
      <w:tr w:rsidR="00B73C4A" w:rsidRPr="009A6CD1" w:rsidTr="00322DBF">
        <w:tc>
          <w:tcPr>
            <w:tcW w:w="5000" w:type="pct"/>
            <w:gridSpan w:val="3"/>
            <w:tcBorders>
              <w:top w:val="nil"/>
              <w:left w:val="double" w:sz="4" w:space="0" w:color="auto"/>
              <w:bottom w:val="double" w:sz="4" w:space="0" w:color="auto"/>
              <w:right w:val="double" w:sz="4" w:space="0" w:color="auto"/>
            </w:tcBorders>
          </w:tcPr>
          <w:p w:rsidR="00B73C4A" w:rsidRPr="009A6CD1" w:rsidRDefault="00B73C4A" w:rsidP="00322DBF">
            <w:pPr>
              <w:jc w:val="center"/>
              <w:rPr>
                <w:rFonts w:ascii="Arial" w:hAnsi="Arial" w:cs="Arial"/>
                <w:b/>
              </w:rPr>
            </w:pPr>
            <w:r w:rsidRPr="009A6CD1">
              <w:rPr>
                <w:rFonts w:ascii="Arial" w:hAnsi="Arial" w:cs="Arial"/>
                <w:b/>
              </w:rPr>
              <w:t>Lesson Title</w:t>
            </w:r>
            <w:r>
              <w:rPr>
                <w:rFonts w:ascii="Arial" w:hAnsi="Arial" w:cs="Arial"/>
                <w:b/>
              </w:rPr>
              <w:t>: Investigation of the inverse-square law for gamma radiation</w:t>
            </w:r>
          </w:p>
        </w:tc>
      </w:tr>
      <w:tr w:rsidR="00B73C4A" w:rsidRPr="009A6CD1" w:rsidTr="00322DBF">
        <w:tc>
          <w:tcPr>
            <w:tcW w:w="1364" w:type="pct"/>
            <w:gridSpan w:val="2"/>
            <w:tcBorders>
              <w:top w:val="double" w:sz="4" w:space="0" w:color="auto"/>
              <w:left w:val="single" w:sz="4" w:space="0" w:color="auto"/>
              <w:bottom w:val="single" w:sz="4" w:space="0" w:color="auto"/>
              <w:right w:val="nil"/>
            </w:tcBorders>
          </w:tcPr>
          <w:p w:rsidR="00B73C4A" w:rsidRPr="009A6CD1" w:rsidRDefault="00B73C4A" w:rsidP="00322DBF">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B73C4A" w:rsidRPr="009A6CD1" w:rsidRDefault="00B73C4A" w:rsidP="00322DBF">
            <w:pPr>
              <w:rPr>
                <w:rFonts w:ascii="Arial" w:hAnsi="Arial" w:cs="Arial"/>
                <w:b/>
              </w:rPr>
            </w:pPr>
            <w:r>
              <w:rPr>
                <w:rFonts w:ascii="Arial" w:hAnsi="Arial" w:cs="Arial"/>
                <w:b/>
              </w:rPr>
              <w:t>3.8.1.2</w:t>
            </w:r>
          </w:p>
        </w:tc>
      </w:tr>
      <w:tr w:rsidR="00B73C4A" w:rsidRPr="009A6CD1" w:rsidTr="00322DBF">
        <w:tc>
          <w:tcPr>
            <w:tcW w:w="5000" w:type="pct"/>
            <w:gridSpan w:val="3"/>
            <w:tcBorders>
              <w:top w:val="single" w:sz="4" w:space="0" w:color="auto"/>
              <w:bottom w:val="nil"/>
            </w:tcBorders>
          </w:tcPr>
          <w:p w:rsidR="00B73C4A" w:rsidRPr="009A6CD1" w:rsidRDefault="00B73C4A" w:rsidP="00322DBF">
            <w:pPr>
              <w:rPr>
                <w:rFonts w:ascii="Arial" w:hAnsi="Arial" w:cs="Arial"/>
                <w:b/>
              </w:rPr>
            </w:pPr>
            <w:r w:rsidRPr="009A6CD1">
              <w:rPr>
                <w:rFonts w:ascii="Arial" w:hAnsi="Arial" w:cs="Arial"/>
                <w:b/>
              </w:rPr>
              <w:t>Learning Objectives</w:t>
            </w:r>
          </w:p>
        </w:tc>
      </w:tr>
      <w:tr w:rsidR="00B73C4A" w:rsidRPr="009A6CD1" w:rsidTr="00322DBF">
        <w:tc>
          <w:tcPr>
            <w:tcW w:w="5000" w:type="pct"/>
            <w:gridSpan w:val="3"/>
            <w:tcBorders>
              <w:top w:val="nil"/>
              <w:bottom w:val="nil"/>
            </w:tcBorders>
          </w:tcPr>
          <w:p w:rsidR="00B73C4A" w:rsidRDefault="00B73C4A" w:rsidP="00322DBF">
            <w:pPr>
              <w:autoSpaceDE w:val="0"/>
              <w:autoSpaceDN w:val="0"/>
              <w:adjustRightInd w:val="0"/>
              <w:rPr>
                <w:rFonts w:ascii="Arial" w:hAnsi="Arial" w:cs="Arial"/>
              </w:rPr>
            </w:pPr>
          </w:p>
          <w:p w:rsidR="00B73C4A" w:rsidRDefault="00B73C4A" w:rsidP="00322DBF">
            <w:pPr>
              <w:autoSpaceDE w:val="0"/>
              <w:autoSpaceDN w:val="0"/>
              <w:adjustRightInd w:val="0"/>
              <w:rPr>
                <w:rFonts w:ascii="ArialMT" w:hAnsi="ArialMT" w:cs="ArialMT"/>
                <w:sz w:val="10"/>
                <w:szCs w:val="10"/>
              </w:rPr>
            </w:pPr>
            <w:r>
              <w:rPr>
                <w:rFonts w:ascii="HelveticaNeueLTStd-Roman" w:hAnsi="HelveticaNeueLTStd-Roman" w:cs="HelveticaNeueLTStd-Roman"/>
              </w:rPr>
              <w:t xml:space="preserve">Inverse-square law for </w:t>
            </w:r>
            <w:r>
              <w:rPr>
                <w:rFonts w:ascii="CambriaMath" w:eastAsia="CambriaMath" w:hAnsi="HelveticaNeueLTStd-Roman" w:cs="CambriaMath" w:hint="eastAsia"/>
                <w:sz w:val="24"/>
                <w:szCs w:val="24"/>
              </w:rPr>
              <w:t>γ</w:t>
            </w:r>
            <w:r>
              <w:rPr>
                <w:rFonts w:ascii="CambriaMath" w:eastAsia="CambriaMath" w:hAnsi="HelveticaNeueLTStd-Roman" w:cs="CambriaMath"/>
                <w:sz w:val="24"/>
                <w:szCs w:val="24"/>
              </w:rPr>
              <w:t xml:space="preserve"> </w:t>
            </w:r>
            <w:r>
              <w:rPr>
                <w:rFonts w:ascii="HelveticaNeueLTStd-Roman" w:hAnsi="HelveticaNeueLTStd-Roman" w:cs="HelveticaNeueLTStd-Roman"/>
              </w:rPr>
              <w:t xml:space="preserve">radiation: </w:t>
            </w:r>
            <w:r w:rsidRPr="00DD0908">
              <w:rPr>
                <w:rFonts w:ascii="HelveticaNeueLTStd-Roman" w:hAnsi="HelveticaNeueLTStd-Roman" w:cs="HelveticaNeueLTStd-Roman"/>
                <w:position w:val="-24"/>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25pt" o:ole="">
                  <v:imagedata r:id="rId6" o:title=""/>
                </v:shape>
                <o:OLEObject Type="Embed" ProgID="Equation.3" ShapeID="_x0000_i1025" DrawAspect="Content" ObjectID="_1534079200" r:id="rId7"/>
              </w:object>
            </w:r>
          </w:p>
          <w:p w:rsidR="00B73C4A" w:rsidRDefault="00B73C4A" w:rsidP="00322DBF">
            <w:pPr>
              <w:autoSpaceDE w:val="0"/>
              <w:autoSpaceDN w:val="0"/>
              <w:adjustRightInd w:val="0"/>
              <w:rPr>
                <w:rFonts w:ascii="ArialMT" w:hAnsi="ArialMT" w:cs="ArialMT"/>
                <w:sz w:val="10"/>
                <w:szCs w:val="10"/>
              </w:rPr>
            </w:pPr>
          </w:p>
          <w:p w:rsidR="00B73C4A" w:rsidRDefault="00B73C4A" w:rsidP="00322DBF">
            <w:pPr>
              <w:autoSpaceDE w:val="0"/>
              <w:autoSpaceDN w:val="0"/>
              <w:adjustRightInd w:val="0"/>
              <w:rPr>
                <w:rFonts w:ascii="Arial" w:hAnsi="Arial" w:cs="Arial"/>
              </w:rPr>
            </w:pPr>
            <w:r>
              <w:rPr>
                <w:rFonts w:ascii="HelveticaNeueLTStd-Roman" w:hAnsi="HelveticaNeueLTStd-Roman" w:cs="HelveticaNeueLTStd-Roman"/>
              </w:rPr>
              <w:t>Experimental verification of inverse-square law.</w:t>
            </w:r>
          </w:p>
          <w:p w:rsidR="00B73C4A" w:rsidRPr="009A6CD1" w:rsidRDefault="00B73C4A" w:rsidP="00322DBF">
            <w:pPr>
              <w:autoSpaceDE w:val="0"/>
              <w:autoSpaceDN w:val="0"/>
              <w:adjustRightInd w:val="0"/>
              <w:rPr>
                <w:rFonts w:ascii="Arial" w:hAnsi="Arial" w:cs="Arial"/>
              </w:rPr>
            </w:pPr>
          </w:p>
        </w:tc>
      </w:tr>
      <w:tr w:rsidR="00B73C4A" w:rsidRPr="009A6CD1" w:rsidTr="00322DBF">
        <w:trPr>
          <w:trHeight w:val="263"/>
        </w:trPr>
        <w:tc>
          <w:tcPr>
            <w:tcW w:w="5000" w:type="pct"/>
            <w:gridSpan w:val="3"/>
            <w:tcBorders>
              <w:bottom w:val="nil"/>
            </w:tcBorders>
          </w:tcPr>
          <w:p w:rsidR="00B73C4A" w:rsidRPr="009A6CD1" w:rsidRDefault="00B73C4A" w:rsidP="00322DBF">
            <w:pPr>
              <w:rPr>
                <w:rFonts w:ascii="Arial" w:hAnsi="Arial" w:cs="Arial"/>
              </w:rPr>
            </w:pPr>
            <w:r w:rsidRPr="009A6CD1">
              <w:rPr>
                <w:rFonts w:ascii="Arial" w:hAnsi="Arial" w:cs="Arial"/>
                <w:b/>
              </w:rPr>
              <w:t>Opportunities for Assessment</w:t>
            </w:r>
          </w:p>
        </w:tc>
      </w:tr>
      <w:tr w:rsidR="00B73C4A" w:rsidRPr="009A6CD1" w:rsidTr="00322DBF">
        <w:trPr>
          <w:trHeight w:val="275"/>
        </w:trPr>
        <w:tc>
          <w:tcPr>
            <w:tcW w:w="5000" w:type="pct"/>
            <w:gridSpan w:val="3"/>
            <w:tcBorders>
              <w:top w:val="nil"/>
              <w:bottom w:val="double" w:sz="4" w:space="0" w:color="auto"/>
            </w:tcBorders>
          </w:tcPr>
          <w:p w:rsidR="00B73C4A" w:rsidRDefault="00B73C4A" w:rsidP="00322DBF">
            <w:pPr>
              <w:rPr>
                <w:rFonts w:ascii="Arial" w:hAnsi="Arial" w:cs="Arial"/>
              </w:rPr>
            </w:pPr>
            <w:r>
              <w:rPr>
                <w:rFonts w:ascii="Arial" w:hAnsi="Arial" w:cs="Arial"/>
              </w:rPr>
              <w:t>Assessing the practical aspect of the lesson</w:t>
            </w:r>
          </w:p>
          <w:p w:rsidR="00B73C4A" w:rsidRDefault="00B73C4A" w:rsidP="00322DBF">
            <w:pPr>
              <w:rPr>
                <w:rFonts w:ascii="Arial" w:hAnsi="Arial" w:cs="Arial"/>
              </w:rPr>
            </w:pPr>
          </w:p>
          <w:p w:rsidR="00B73C4A" w:rsidRDefault="00B73C4A" w:rsidP="00322DBF">
            <w:pPr>
              <w:rPr>
                <w:rFonts w:ascii="Arial" w:hAnsi="Arial" w:cs="Arial"/>
                <w:b/>
              </w:rPr>
            </w:pPr>
            <w:r>
              <w:rPr>
                <w:rFonts w:ascii="Arial" w:hAnsi="Arial" w:cs="Arial"/>
                <w:b/>
              </w:rPr>
              <w:t>Skills Assessment (Required practical 12)</w:t>
            </w:r>
          </w:p>
          <w:p w:rsidR="00B73C4A" w:rsidRPr="009A6CD1" w:rsidRDefault="00B73C4A" w:rsidP="00322DBF">
            <w:pPr>
              <w:rPr>
                <w:rFonts w:ascii="Arial" w:hAnsi="Arial" w:cs="Arial"/>
              </w:rPr>
            </w:pPr>
            <w:r>
              <w:rPr>
                <w:rFonts w:ascii="Arial" w:hAnsi="Arial" w:cs="Arial"/>
              </w:rPr>
              <w:t>AT (a),(b),(k),(l)</w:t>
            </w:r>
          </w:p>
        </w:tc>
      </w:tr>
      <w:tr w:rsidR="00B73C4A" w:rsidRPr="009A6CD1" w:rsidTr="00322DBF">
        <w:trPr>
          <w:trHeight w:val="237"/>
        </w:trPr>
        <w:tc>
          <w:tcPr>
            <w:tcW w:w="546" w:type="pct"/>
            <w:tcBorders>
              <w:top w:val="double" w:sz="4" w:space="0" w:color="auto"/>
              <w:left w:val="double" w:sz="4" w:space="0" w:color="auto"/>
              <w:bottom w:val="nil"/>
              <w:right w:val="nil"/>
            </w:tcBorders>
          </w:tcPr>
          <w:p w:rsidR="00B73C4A" w:rsidRPr="009A6CD1" w:rsidRDefault="00B73C4A" w:rsidP="00322DBF">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B73C4A" w:rsidRDefault="00B73C4A" w:rsidP="00322DBF">
            <w:pPr>
              <w:rPr>
                <w:rFonts w:ascii="Arial" w:hAnsi="Arial" w:cs="Arial"/>
              </w:rPr>
            </w:pPr>
            <w:r>
              <w:rPr>
                <w:rFonts w:ascii="Arial" w:hAnsi="Arial" w:cs="Arial"/>
              </w:rPr>
              <w:t>Recap gamma radiation and the inverse square law from last lesson (Slides #1 and #2)</w:t>
            </w:r>
          </w:p>
          <w:p w:rsidR="00B73C4A" w:rsidRPr="009A6CD1" w:rsidRDefault="00B73C4A" w:rsidP="00322DBF">
            <w:pPr>
              <w:rPr>
                <w:rFonts w:ascii="Arial" w:hAnsi="Arial" w:cs="Arial"/>
              </w:rPr>
            </w:pPr>
          </w:p>
        </w:tc>
      </w:tr>
      <w:tr w:rsidR="00B73C4A" w:rsidRPr="009A6CD1" w:rsidTr="00322DBF">
        <w:trPr>
          <w:trHeight w:val="238"/>
        </w:trPr>
        <w:tc>
          <w:tcPr>
            <w:tcW w:w="546" w:type="pct"/>
            <w:tcBorders>
              <w:top w:val="nil"/>
              <w:left w:val="double" w:sz="4" w:space="0" w:color="auto"/>
              <w:bottom w:val="nil"/>
              <w:right w:val="nil"/>
            </w:tcBorders>
          </w:tcPr>
          <w:p w:rsidR="00B73C4A" w:rsidRPr="009A6CD1" w:rsidRDefault="00B73C4A" w:rsidP="00322DBF">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B73C4A" w:rsidRDefault="00B73C4A" w:rsidP="00322DBF">
            <w:pPr>
              <w:rPr>
                <w:rFonts w:ascii="Arial" w:hAnsi="Arial" w:cs="Arial"/>
              </w:rPr>
            </w:pPr>
            <w:r>
              <w:rPr>
                <w:rFonts w:ascii="Arial" w:hAnsi="Arial" w:cs="Arial"/>
              </w:rPr>
              <w:t>Slide #3 explains to students that their teacher will decide how much dependence they are given in this experiment. See pages 110-111 of the AQA practical handbook for Physics for full details</w:t>
            </w:r>
          </w:p>
          <w:p w:rsidR="00B73C4A" w:rsidRDefault="00B73C4A" w:rsidP="00322DBF">
            <w:pPr>
              <w:rPr>
                <w:rFonts w:ascii="Arial" w:hAnsi="Arial" w:cs="Arial"/>
              </w:rPr>
            </w:pPr>
          </w:p>
          <w:p w:rsidR="00B73C4A" w:rsidRDefault="00B73C4A" w:rsidP="00322DBF">
            <w:pPr>
              <w:rPr>
                <w:rFonts w:ascii="Arial" w:hAnsi="Arial" w:cs="Arial"/>
              </w:rPr>
            </w:pPr>
            <w:r>
              <w:rPr>
                <w:rFonts w:ascii="Arial" w:hAnsi="Arial" w:cs="Arial"/>
              </w:rPr>
              <w:t>Slide #4 outlines the assessed skills that will be looked at by the teacher. Students should keep these in mind and ensure that their teacher watches them perform these skills during the practical.</w:t>
            </w:r>
          </w:p>
          <w:p w:rsidR="00B73C4A" w:rsidRDefault="00B73C4A" w:rsidP="00322DBF">
            <w:pPr>
              <w:rPr>
                <w:rFonts w:ascii="Arial" w:hAnsi="Arial" w:cs="Arial"/>
              </w:rPr>
            </w:pPr>
          </w:p>
          <w:p w:rsidR="00B73C4A" w:rsidRDefault="00B73C4A" w:rsidP="00322DBF">
            <w:pPr>
              <w:rPr>
                <w:rFonts w:ascii="Arial" w:hAnsi="Arial" w:cs="Arial"/>
              </w:rPr>
            </w:pPr>
            <w:r>
              <w:rPr>
                <w:rFonts w:ascii="Arial" w:hAnsi="Arial" w:cs="Arial"/>
              </w:rPr>
              <w:t>Depending on the outcomes that the teacher wishes to assess, the pupils can either be given a method to follow or a lesson can be used as a full research and planning session</w:t>
            </w:r>
          </w:p>
          <w:p w:rsidR="00B73C4A" w:rsidRDefault="00B73C4A" w:rsidP="00322DBF">
            <w:pPr>
              <w:rPr>
                <w:rFonts w:ascii="Arial" w:hAnsi="Arial" w:cs="Arial"/>
              </w:rPr>
            </w:pPr>
          </w:p>
          <w:p w:rsidR="00B73C4A" w:rsidRDefault="00B73C4A" w:rsidP="00322DBF">
            <w:pPr>
              <w:rPr>
                <w:rFonts w:ascii="Arial" w:hAnsi="Arial" w:cs="Arial"/>
              </w:rPr>
            </w:pPr>
            <w:r>
              <w:rPr>
                <w:rFonts w:ascii="Arial" w:hAnsi="Arial" w:cs="Arial"/>
              </w:rPr>
              <w:t>The experiment needs to be performed. See pages 110-114 of the practical handbook for A-Level Physics for full details.</w:t>
            </w:r>
          </w:p>
          <w:p w:rsidR="00B73C4A" w:rsidRPr="009A6CD1" w:rsidRDefault="00B73C4A" w:rsidP="00322DBF">
            <w:pPr>
              <w:rPr>
                <w:rFonts w:ascii="Arial" w:hAnsi="Arial" w:cs="Arial"/>
              </w:rPr>
            </w:pPr>
          </w:p>
        </w:tc>
      </w:tr>
      <w:tr w:rsidR="00B73C4A" w:rsidRPr="009A6CD1" w:rsidTr="00322DBF">
        <w:trPr>
          <w:trHeight w:val="265"/>
        </w:trPr>
        <w:tc>
          <w:tcPr>
            <w:tcW w:w="546" w:type="pct"/>
            <w:tcBorders>
              <w:top w:val="nil"/>
              <w:left w:val="double" w:sz="4" w:space="0" w:color="auto"/>
              <w:bottom w:val="double" w:sz="4" w:space="0" w:color="auto"/>
              <w:right w:val="nil"/>
            </w:tcBorders>
          </w:tcPr>
          <w:p w:rsidR="00B73C4A" w:rsidRPr="009A6CD1" w:rsidRDefault="00B73C4A" w:rsidP="00322DBF">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B73C4A" w:rsidRPr="009A6CD1" w:rsidRDefault="00B73C4A" w:rsidP="00322DBF">
            <w:pPr>
              <w:rPr>
                <w:rFonts w:ascii="Arial" w:hAnsi="Arial" w:cs="Arial"/>
              </w:rPr>
            </w:pPr>
            <w:r>
              <w:rPr>
                <w:rFonts w:ascii="Arial" w:hAnsi="Arial" w:cs="Arial"/>
              </w:rPr>
              <w:t>Go over the experiment and the results; write up the experiment in full; discuss the assessing of the skills and the outcome assessed by the teacher.</w:t>
            </w:r>
          </w:p>
        </w:tc>
      </w:tr>
      <w:tr w:rsidR="00B73C4A" w:rsidRPr="009A6CD1" w:rsidTr="00322DBF">
        <w:trPr>
          <w:trHeight w:val="250"/>
        </w:trPr>
        <w:tc>
          <w:tcPr>
            <w:tcW w:w="5000" w:type="pct"/>
            <w:gridSpan w:val="3"/>
            <w:tcBorders>
              <w:bottom w:val="nil"/>
            </w:tcBorders>
          </w:tcPr>
          <w:p w:rsidR="00B73C4A" w:rsidRPr="009A6CD1" w:rsidRDefault="00B73C4A" w:rsidP="00322DBF">
            <w:pPr>
              <w:rPr>
                <w:rFonts w:ascii="Arial" w:hAnsi="Arial" w:cs="Arial"/>
              </w:rPr>
            </w:pPr>
            <w:r w:rsidRPr="009A6CD1">
              <w:rPr>
                <w:rFonts w:ascii="Arial" w:hAnsi="Arial" w:cs="Arial"/>
                <w:b/>
              </w:rPr>
              <w:t>RESOURCES:</w:t>
            </w:r>
          </w:p>
        </w:tc>
      </w:tr>
      <w:tr w:rsidR="00B73C4A" w:rsidRPr="006E1040" w:rsidTr="00322DBF">
        <w:trPr>
          <w:trHeight w:val="288"/>
        </w:trPr>
        <w:tc>
          <w:tcPr>
            <w:tcW w:w="5000" w:type="pct"/>
            <w:gridSpan w:val="3"/>
            <w:tcBorders>
              <w:top w:val="nil"/>
            </w:tcBorders>
          </w:tcPr>
          <w:p w:rsidR="00B73C4A" w:rsidRDefault="00B73C4A" w:rsidP="00322DBF">
            <w:pPr>
              <w:rPr>
                <w:rFonts w:ascii="Arial" w:hAnsi="Arial" w:cs="Arial"/>
              </w:rPr>
            </w:pPr>
            <w:r>
              <w:rPr>
                <w:rFonts w:ascii="Arial" w:hAnsi="Arial" w:cs="Arial"/>
              </w:rPr>
              <w:t>Groups:</w:t>
            </w:r>
          </w:p>
          <w:p w:rsidR="00830191" w:rsidRPr="00FD3C44" w:rsidRDefault="00830191" w:rsidP="00830191">
            <w:pPr>
              <w:pStyle w:val="ListParagraph"/>
              <w:numPr>
                <w:ilvl w:val="0"/>
                <w:numId w:val="1"/>
              </w:numPr>
              <w:rPr>
                <w:rFonts w:ascii="Arial" w:hAnsi="Arial" w:cs="Arial"/>
              </w:rPr>
            </w:pPr>
            <w:r w:rsidRPr="00FD3C44">
              <w:rPr>
                <w:rFonts w:ascii="Arial" w:hAnsi="Arial" w:cs="Arial"/>
              </w:rPr>
              <w:t xml:space="preserve">gamma source (e.g. 185 </w:t>
            </w:r>
            <w:proofErr w:type="spellStart"/>
            <w:r w:rsidRPr="00FD3C44">
              <w:rPr>
                <w:rFonts w:ascii="Arial" w:hAnsi="Arial" w:cs="Arial"/>
              </w:rPr>
              <w:t>kBq</w:t>
            </w:r>
            <w:proofErr w:type="spellEnd"/>
            <w:r w:rsidRPr="00FD3C44">
              <w:rPr>
                <w:rFonts w:ascii="Arial" w:hAnsi="Arial" w:cs="Arial"/>
              </w:rPr>
              <w:t xml:space="preserve"> (5 µCi) Cobalt 60 ‘closed’ source)</w:t>
            </w:r>
          </w:p>
          <w:p w:rsidR="00830191" w:rsidRPr="00FD3C44" w:rsidRDefault="00830191" w:rsidP="00830191">
            <w:pPr>
              <w:pStyle w:val="ListParagraph"/>
              <w:numPr>
                <w:ilvl w:val="0"/>
                <w:numId w:val="1"/>
              </w:numPr>
              <w:rPr>
                <w:rFonts w:ascii="Arial" w:hAnsi="Arial" w:cs="Arial"/>
              </w:rPr>
            </w:pPr>
            <w:r w:rsidRPr="00FD3C44">
              <w:rPr>
                <w:rFonts w:ascii="Arial" w:hAnsi="Arial" w:cs="Arial"/>
              </w:rPr>
              <w:t>source holder or retort stand, boss and clamp</w:t>
            </w:r>
          </w:p>
          <w:p w:rsidR="00830191" w:rsidRPr="00FD3C44" w:rsidRDefault="00830191" w:rsidP="00830191">
            <w:pPr>
              <w:pStyle w:val="ListParagraph"/>
              <w:numPr>
                <w:ilvl w:val="0"/>
                <w:numId w:val="1"/>
              </w:numPr>
              <w:rPr>
                <w:rFonts w:ascii="Arial" w:hAnsi="Arial" w:cs="Arial"/>
              </w:rPr>
            </w:pPr>
            <w:r w:rsidRPr="00FD3C44">
              <w:rPr>
                <w:rFonts w:ascii="Arial" w:hAnsi="Arial" w:cs="Arial"/>
              </w:rPr>
              <w:t>scaler with integral power supply for GM tube</w:t>
            </w:r>
          </w:p>
          <w:p w:rsidR="00830191" w:rsidRPr="00FD3C44" w:rsidRDefault="00830191" w:rsidP="00830191">
            <w:pPr>
              <w:pStyle w:val="ListParagraph"/>
              <w:numPr>
                <w:ilvl w:val="0"/>
                <w:numId w:val="1"/>
              </w:numPr>
              <w:rPr>
                <w:rFonts w:ascii="Arial" w:hAnsi="Arial" w:cs="Arial"/>
              </w:rPr>
            </w:pPr>
            <w:proofErr w:type="spellStart"/>
            <w:r w:rsidRPr="00FD3C44">
              <w:rPr>
                <w:rFonts w:ascii="Arial" w:hAnsi="Arial" w:cs="Arial"/>
              </w:rPr>
              <w:t>geiger</w:t>
            </w:r>
            <w:proofErr w:type="spellEnd"/>
            <w:r w:rsidRPr="00FD3C44">
              <w:rPr>
                <w:rFonts w:ascii="Arial" w:hAnsi="Arial" w:cs="Arial"/>
              </w:rPr>
              <w:t xml:space="preserve"> </w:t>
            </w:r>
            <w:proofErr w:type="spellStart"/>
            <w:r w:rsidRPr="00FD3C44">
              <w:rPr>
                <w:rFonts w:ascii="Arial" w:hAnsi="Arial" w:cs="Arial"/>
              </w:rPr>
              <w:t>muller</w:t>
            </w:r>
            <w:proofErr w:type="spellEnd"/>
            <w:r w:rsidRPr="00FD3C44">
              <w:rPr>
                <w:rFonts w:ascii="Arial" w:hAnsi="Arial" w:cs="Arial"/>
              </w:rPr>
              <w:t xml:space="preserve"> tube suitable for gamma detection</w:t>
            </w:r>
          </w:p>
          <w:p w:rsidR="00830191" w:rsidRPr="00FD3C44" w:rsidRDefault="00830191" w:rsidP="00830191">
            <w:pPr>
              <w:pStyle w:val="ListParagraph"/>
              <w:numPr>
                <w:ilvl w:val="0"/>
                <w:numId w:val="1"/>
              </w:numPr>
              <w:rPr>
                <w:rFonts w:ascii="Arial" w:hAnsi="Arial" w:cs="Arial"/>
              </w:rPr>
            </w:pPr>
            <w:r w:rsidRPr="00FD3C44">
              <w:rPr>
                <w:rFonts w:ascii="Arial" w:hAnsi="Arial" w:cs="Arial"/>
              </w:rPr>
              <w:t>metre ruler</w:t>
            </w:r>
          </w:p>
          <w:p w:rsidR="00830191" w:rsidRPr="00FD3C44" w:rsidRDefault="00830191" w:rsidP="00830191">
            <w:pPr>
              <w:pStyle w:val="ListParagraph"/>
              <w:numPr>
                <w:ilvl w:val="0"/>
                <w:numId w:val="1"/>
              </w:numPr>
              <w:rPr>
                <w:rFonts w:ascii="Arial" w:hAnsi="Arial" w:cs="Arial"/>
              </w:rPr>
            </w:pPr>
            <w:proofErr w:type="spellStart"/>
            <w:r w:rsidRPr="00FD3C44">
              <w:rPr>
                <w:rFonts w:ascii="Arial" w:hAnsi="Arial" w:cs="Arial"/>
              </w:rPr>
              <w:t>stopclock</w:t>
            </w:r>
            <w:proofErr w:type="spellEnd"/>
          </w:p>
          <w:p w:rsidR="00B73C4A" w:rsidRPr="00830191" w:rsidRDefault="00B73C4A" w:rsidP="00830191">
            <w:pPr>
              <w:ind w:left="360"/>
              <w:rPr>
                <w:rFonts w:ascii="Arial" w:hAnsi="Arial" w:cs="Arial"/>
              </w:rPr>
            </w:pPr>
            <w:bookmarkStart w:id="0" w:name="_GoBack"/>
            <w:bookmarkEnd w:id="0"/>
          </w:p>
        </w:tc>
      </w:tr>
      <w:tr w:rsidR="00B73C4A" w:rsidRPr="009A6CD1" w:rsidTr="00322DBF">
        <w:trPr>
          <w:trHeight w:val="250"/>
        </w:trPr>
        <w:tc>
          <w:tcPr>
            <w:tcW w:w="5000" w:type="pct"/>
            <w:gridSpan w:val="3"/>
            <w:tcBorders>
              <w:bottom w:val="nil"/>
            </w:tcBorders>
          </w:tcPr>
          <w:p w:rsidR="00B73C4A" w:rsidRPr="009A6CD1" w:rsidRDefault="00B73C4A" w:rsidP="00322DBF">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B73C4A" w:rsidRPr="006E1040" w:rsidTr="00322DBF">
        <w:trPr>
          <w:trHeight w:val="288"/>
        </w:trPr>
        <w:tc>
          <w:tcPr>
            <w:tcW w:w="5000" w:type="pct"/>
            <w:gridSpan w:val="3"/>
            <w:tcBorders>
              <w:top w:val="nil"/>
            </w:tcBorders>
          </w:tcPr>
          <w:p w:rsidR="00B73C4A" w:rsidRDefault="00B73C4A" w:rsidP="00322DBF">
            <w:pPr>
              <w:rPr>
                <w:rFonts w:ascii="Arial" w:hAnsi="Arial" w:cs="Arial"/>
              </w:rPr>
            </w:pPr>
            <w:r>
              <w:rPr>
                <w:rFonts w:ascii="Arial" w:hAnsi="Arial" w:cs="Arial"/>
              </w:rPr>
              <w:t>Radiation hazard risk assessment:</w:t>
            </w:r>
          </w:p>
          <w:p w:rsidR="00B73C4A" w:rsidRDefault="00B73C4A" w:rsidP="00322DBF">
            <w:pPr>
              <w:pStyle w:val="ListParagraph"/>
              <w:numPr>
                <w:ilvl w:val="0"/>
                <w:numId w:val="2"/>
              </w:numPr>
              <w:rPr>
                <w:rFonts w:ascii="Arial" w:hAnsi="Arial" w:cs="Arial"/>
              </w:rPr>
            </w:pPr>
            <w:r>
              <w:rPr>
                <w:rFonts w:ascii="Arial" w:hAnsi="Arial" w:cs="Arial"/>
              </w:rPr>
              <w:t>Follow in-house protocols on use and management of sources including:</w:t>
            </w:r>
          </w:p>
          <w:p w:rsidR="00B73C4A" w:rsidRDefault="00B73C4A" w:rsidP="00322DBF">
            <w:pPr>
              <w:pStyle w:val="ListParagraph"/>
              <w:numPr>
                <w:ilvl w:val="1"/>
                <w:numId w:val="2"/>
              </w:numPr>
              <w:rPr>
                <w:rFonts w:ascii="Arial" w:hAnsi="Arial" w:cs="Arial"/>
              </w:rPr>
            </w:pPr>
            <w:r>
              <w:rPr>
                <w:rFonts w:ascii="Arial" w:hAnsi="Arial" w:cs="Arial"/>
              </w:rPr>
              <w:t>Do not point sources at people</w:t>
            </w:r>
          </w:p>
          <w:p w:rsidR="00B73C4A" w:rsidRDefault="00B73C4A" w:rsidP="00322DBF">
            <w:pPr>
              <w:pStyle w:val="ListParagraph"/>
              <w:numPr>
                <w:ilvl w:val="1"/>
                <w:numId w:val="2"/>
              </w:numPr>
              <w:rPr>
                <w:rFonts w:ascii="Arial" w:hAnsi="Arial" w:cs="Arial"/>
              </w:rPr>
            </w:pPr>
            <w:r>
              <w:rPr>
                <w:rFonts w:ascii="Arial" w:hAnsi="Arial" w:cs="Arial"/>
              </w:rPr>
              <w:t>use at maximum distance (use forceps), and away from any students</w:t>
            </w:r>
          </w:p>
          <w:p w:rsidR="00B73C4A" w:rsidRDefault="00B73C4A" w:rsidP="00322DBF">
            <w:pPr>
              <w:pStyle w:val="ListParagraph"/>
              <w:numPr>
                <w:ilvl w:val="1"/>
                <w:numId w:val="2"/>
              </w:numPr>
              <w:rPr>
                <w:rFonts w:ascii="Arial" w:hAnsi="Arial" w:cs="Arial"/>
              </w:rPr>
            </w:pPr>
            <w:r>
              <w:rPr>
                <w:rFonts w:ascii="Arial" w:hAnsi="Arial" w:cs="Arial"/>
              </w:rPr>
              <w:t>Use for least amount of time possible</w:t>
            </w:r>
          </w:p>
          <w:p w:rsidR="00B73C4A" w:rsidRDefault="00B73C4A" w:rsidP="00322DBF">
            <w:pPr>
              <w:pStyle w:val="ListParagraph"/>
              <w:numPr>
                <w:ilvl w:val="1"/>
                <w:numId w:val="2"/>
              </w:numPr>
              <w:rPr>
                <w:rFonts w:ascii="Arial" w:hAnsi="Arial" w:cs="Arial"/>
              </w:rPr>
            </w:pPr>
            <w:r>
              <w:rPr>
                <w:rFonts w:ascii="Arial" w:hAnsi="Arial" w:cs="Arial"/>
              </w:rPr>
              <w:t>Ensure all sources are counted in and out</w:t>
            </w:r>
          </w:p>
          <w:p w:rsidR="00B73C4A" w:rsidRDefault="00B73C4A" w:rsidP="00322DBF">
            <w:pPr>
              <w:pStyle w:val="ListParagraph"/>
              <w:numPr>
                <w:ilvl w:val="1"/>
                <w:numId w:val="2"/>
              </w:numPr>
              <w:rPr>
                <w:rFonts w:ascii="Arial" w:hAnsi="Arial" w:cs="Arial"/>
              </w:rPr>
            </w:pPr>
            <w:r>
              <w:rPr>
                <w:rFonts w:ascii="Arial" w:hAnsi="Arial" w:cs="Arial"/>
              </w:rPr>
              <w:t>Do not leave sources unattended</w:t>
            </w:r>
          </w:p>
          <w:p w:rsidR="00B73C4A" w:rsidRPr="006E1040" w:rsidRDefault="00B73C4A" w:rsidP="00322DBF">
            <w:pPr>
              <w:pStyle w:val="ListParagraph"/>
              <w:ind w:left="1440"/>
              <w:rPr>
                <w:rFonts w:ascii="Arial" w:hAnsi="Arial" w:cs="Arial"/>
              </w:rPr>
            </w:pPr>
          </w:p>
        </w:tc>
      </w:tr>
    </w:tbl>
    <w:p w:rsidR="000848D5" w:rsidRPr="00B73C4A" w:rsidRDefault="000848D5" w:rsidP="00B73C4A">
      <w:pPr>
        <w:rPr>
          <w:rFonts w:ascii="Arial" w:hAnsi="Arial" w:cs="Arial"/>
        </w:rPr>
      </w:pPr>
    </w:p>
    <w:sectPr w:rsidR="000848D5" w:rsidRPr="00B73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Math">
    <w:altName w:val="Times New Roman"/>
    <w:panose1 w:val="00000000000000000000"/>
    <w:charset w:val="A1"/>
    <w:family w:val="auto"/>
    <w:notTrueType/>
    <w:pitch w:val="default"/>
    <w:sig w:usb0="00000083" w:usb1="080F0000" w:usb2="00000010" w:usb3="00000000" w:csb0="0012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15AE3"/>
    <w:multiLevelType w:val="hybridMultilevel"/>
    <w:tmpl w:val="18BC5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324996"/>
    <w:multiLevelType w:val="hybridMultilevel"/>
    <w:tmpl w:val="8DF0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41"/>
    <w:rsid w:val="000848D5"/>
    <w:rsid w:val="00830191"/>
    <w:rsid w:val="00874541"/>
    <w:rsid w:val="00B73C4A"/>
    <w:rsid w:val="00E13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4</cp:revision>
  <dcterms:created xsi:type="dcterms:W3CDTF">2016-08-30T12:01:00Z</dcterms:created>
  <dcterms:modified xsi:type="dcterms:W3CDTF">2016-08-30T15:18:00Z</dcterms:modified>
</cp:coreProperties>
</file>