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42" w:rsidRPr="006C09CB" w:rsidRDefault="006C09CB" w:rsidP="006C09CB">
      <w:pPr>
        <w:jc w:val="center"/>
        <w:rPr>
          <w:b/>
          <w:sz w:val="28"/>
        </w:rPr>
      </w:pPr>
      <w:r w:rsidRPr="006C09CB">
        <w:rPr>
          <w:b/>
          <w:sz w:val="28"/>
        </w:rPr>
        <w:t>Sinusoidal functions and radian measure</w:t>
      </w:r>
    </w:p>
    <w:p w:rsidR="006C09CB" w:rsidRDefault="006C09CB">
      <w:r>
        <w:t xml:space="preserve">The radian is an alternative unit for angles which you should know about at AS level to describe the </w:t>
      </w:r>
      <w:r w:rsidRPr="006A3898">
        <w:rPr>
          <w:b/>
        </w:rPr>
        <w:t>phase</w:t>
      </w:r>
      <w:r>
        <w:t xml:space="preserve"> of waves, i.e. what part of the cycle they are on. Radians are also used for A2 work in circular motion and oscillations.</w:t>
      </w:r>
    </w:p>
    <w:p w:rsidR="006C09CB" w:rsidRDefault="006C09CB">
      <w:r>
        <w:t>All you need to know about radians is that one full cycle is 2π radians. In other words:</w:t>
      </w:r>
    </w:p>
    <w:p w:rsidR="006C09CB" w:rsidRDefault="006C09CB">
      <w:pPr>
        <w:rPr>
          <w:vertAlign w:val="superscript"/>
        </w:rPr>
      </w:pPr>
      <w:r>
        <w:tab/>
      </w:r>
      <w:r>
        <w:tab/>
      </w:r>
      <w:r>
        <w:tab/>
      </w:r>
      <w:r>
        <w:tab/>
      </w:r>
      <w:r>
        <w:tab/>
      </w:r>
      <w:r>
        <w:t>2π radians</w:t>
      </w:r>
      <w:r>
        <w:t xml:space="preserve"> = 360</w:t>
      </w:r>
      <w:r w:rsidRPr="006C09CB">
        <w:rPr>
          <w:vertAlign w:val="superscript"/>
        </w:rPr>
        <w:t>0</w:t>
      </w:r>
    </w:p>
    <w:p w:rsidR="006C09CB" w:rsidRPr="006A3898" w:rsidRDefault="006C09CB">
      <w:pPr>
        <w:rPr>
          <w:b/>
        </w:rPr>
      </w:pPr>
      <w:r>
        <w:t xml:space="preserve">Complete the following table. </w:t>
      </w:r>
      <w:r w:rsidRPr="006A3898">
        <w:rPr>
          <w:b/>
        </w:rPr>
        <w:t>You will need to set your calculator into radian mode</w:t>
      </w:r>
      <w:r>
        <w:t xml:space="preserve"> – ask if you need help. </w:t>
      </w:r>
      <w:r w:rsidRPr="006A3898">
        <w:rPr>
          <w:b/>
        </w:rPr>
        <w:t>When you have finished, remember to set your calculator back into degrees mode!</w:t>
      </w:r>
    </w:p>
    <w:p w:rsidR="006C09CB" w:rsidRDefault="006C09CB">
      <w:r>
        <w:t xml:space="preserve">(Note that sin </w:t>
      </w:r>
      <w:r w:rsidRPr="006C09CB">
        <w:rPr>
          <w:vertAlign w:val="superscript"/>
        </w:rPr>
        <w:t>2</w:t>
      </w:r>
      <w:r>
        <w:rPr>
          <w:vertAlign w:val="superscript"/>
        </w:rPr>
        <w:t xml:space="preserve"> </w:t>
      </w:r>
      <w:r>
        <w:t>θ means the value of sin θ squared, as opposed to sin θ</w:t>
      </w:r>
      <w:r w:rsidRPr="006C09CB">
        <w:rPr>
          <w:vertAlign w:val="superscript"/>
        </w:rPr>
        <w:t>2</w:t>
      </w:r>
      <w:r>
        <w:t>)</w:t>
      </w:r>
    </w:p>
    <w:p w:rsidR="006A3898" w:rsidRDefault="006A3898" w:rsidP="006A3898">
      <w:pPr>
        <w:spacing w:after="0"/>
      </w:pPr>
    </w:p>
    <w:tbl>
      <w:tblPr>
        <w:tblStyle w:val="TableGrid"/>
        <w:tblW w:w="8987" w:type="dxa"/>
        <w:jc w:val="center"/>
        <w:tblLook w:val="04A0" w:firstRow="1" w:lastRow="0" w:firstColumn="1" w:lastColumn="0" w:noHBand="0" w:noVBand="1"/>
      </w:tblPr>
      <w:tblGrid>
        <w:gridCol w:w="1495"/>
        <w:gridCol w:w="1396"/>
        <w:gridCol w:w="1487"/>
        <w:gridCol w:w="1390"/>
        <w:gridCol w:w="1456"/>
        <w:gridCol w:w="1763"/>
      </w:tblGrid>
      <w:tr w:rsidR="006A3898" w:rsidTr="006A3898">
        <w:trPr>
          <w:trHeight w:val="567"/>
          <w:jc w:val="center"/>
        </w:trPr>
        <w:tc>
          <w:tcPr>
            <w:tcW w:w="1495" w:type="dxa"/>
            <w:vAlign w:val="center"/>
          </w:tcPr>
          <w:p w:rsidR="006A3898" w:rsidRDefault="006A3898" w:rsidP="006A3898">
            <w:pPr>
              <w:jc w:val="center"/>
            </w:pPr>
            <w:r>
              <w:t>θ</w:t>
            </w:r>
          </w:p>
        </w:tc>
        <w:tc>
          <w:tcPr>
            <w:tcW w:w="1396" w:type="dxa"/>
            <w:vAlign w:val="center"/>
          </w:tcPr>
          <w:p w:rsidR="006A3898" w:rsidRDefault="006A3898" w:rsidP="006A3898">
            <w:pPr>
              <w:jc w:val="center"/>
            </w:pPr>
            <w:r>
              <w:t>Sin θ</w:t>
            </w:r>
          </w:p>
        </w:tc>
        <w:tc>
          <w:tcPr>
            <w:tcW w:w="1487" w:type="dxa"/>
            <w:vAlign w:val="center"/>
          </w:tcPr>
          <w:p w:rsidR="006A3898" w:rsidRDefault="006A3898" w:rsidP="006A3898">
            <w:pPr>
              <w:jc w:val="center"/>
            </w:pPr>
            <w:r>
              <w:t>Cos θ</w:t>
            </w:r>
          </w:p>
        </w:tc>
        <w:tc>
          <w:tcPr>
            <w:tcW w:w="1390" w:type="dxa"/>
            <w:vAlign w:val="center"/>
          </w:tcPr>
          <w:p w:rsidR="006A3898" w:rsidRDefault="006A3898" w:rsidP="006A3898">
            <w:pPr>
              <w:jc w:val="center"/>
            </w:pPr>
            <w:r>
              <w:t xml:space="preserve">Sin </w:t>
            </w:r>
            <w:r w:rsidRPr="006A3898">
              <w:rPr>
                <w:vertAlign w:val="superscript"/>
              </w:rPr>
              <w:t>2</w:t>
            </w:r>
            <w:r>
              <w:t xml:space="preserve"> θ</w:t>
            </w:r>
          </w:p>
        </w:tc>
        <w:tc>
          <w:tcPr>
            <w:tcW w:w="1456" w:type="dxa"/>
            <w:vAlign w:val="center"/>
          </w:tcPr>
          <w:p w:rsidR="006A3898" w:rsidRDefault="006A3898" w:rsidP="006A3898">
            <w:pPr>
              <w:jc w:val="center"/>
            </w:pPr>
            <w:r>
              <w:t xml:space="preserve">Cos </w:t>
            </w:r>
            <w:r w:rsidRPr="006A3898">
              <w:rPr>
                <w:vertAlign w:val="superscript"/>
              </w:rPr>
              <w:t>2</w:t>
            </w:r>
            <w:r>
              <w:t xml:space="preserve"> θ</w:t>
            </w:r>
          </w:p>
        </w:tc>
        <w:tc>
          <w:tcPr>
            <w:tcW w:w="1763" w:type="dxa"/>
            <w:vAlign w:val="center"/>
          </w:tcPr>
          <w:p w:rsidR="006A3898" w:rsidRDefault="006A3898" w:rsidP="006A3898">
            <w:pPr>
              <w:jc w:val="center"/>
            </w:pPr>
            <w:r>
              <w:t xml:space="preserve">Sin </w:t>
            </w:r>
            <w:r w:rsidRPr="006A3898">
              <w:rPr>
                <w:vertAlign w:val="superscript"/>
              </w:rPr>
              <w:t>2</w:t>
            </w:r>
            <w:r>
              <w:t xml:space="preserve"> θ</w:t>
            </w:r>
            <w:r>
              <w:t xml:space="preserve"> + </w:t>
            </w:r>
            <w:r>
              <w:t xml:space="preserve">Cos </w:t>
            </w:r>
            <w:r w:rsidRPr="006A3898">
              <w:rPr>
                <w:vertAlign w:val="superscript"/>
              </w:rPr>
              <w:t>2</w:t>
            </w:r>
            <w:r>
              <w:t xml:space="preserve"> θ</w:t>
            </w:r>
          </w:p>
        </w:tc>
      </w:tr>
      <w:tr w:rsidR="006A3898" w:rsidTr="003416F8">
        <w:trPr>
          <w:trHeight w:val="567"/>
          <w:jc w:val="center"/>
        </w:trPr>
        <w:tc>
          <w:tcPr>
            <w:tcW w:w="1495" w:type="dxa"/>
            <w:vAlign w:val="center"/>
          </w:tcPr>
          <w:p w:rsidR="006A3898" w:rsidRDefault="003416F8" w:rsidP="003416F8">
            <w:pPr>
              <w:jc w:val="center"/>
            </w:pPr>
            <w:r>
              <w:t>0</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π</w:t>
            </w:r>
            <w:r>
              <w:t>/6</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π</w:t>
            </w:r>
            <w:r>
              <w:t>/3</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π</w:t>
            </w:r>
            <w:r>
              <w:t>/2</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2 </w:t>
            </w:r>
            <w:r>
              <w:t>π</w:t>
            </w:r>
            <w:r>
              <w:t>/3</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5 </w:t>
            </w:r>
            <w:r>
              <w:t>π</w:t>
            </w:r>
            <w:r>
              <w:t>/6</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π</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7 </w:t>
            </w:r>
            <w:r>
              <w:t>π</w:t>
            </w:r>
            <w:r>
              <w:t>/6</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4 </w:t>
            </w:r>
            <w:r>
              <w:t>π</w:t>
            </w:r>
            <w:r>
              <w:t>/3</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3 </w:t>
            </w:r>
            <w:r>
              <w:t>π</w:t>
            </w:r>
            <w:r>
              <w:t>/2</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5 </w:t>
            </w:r>
            <w:r>
              <w:t>π</w:t>
            </w:r>
            <w:r>
              <w:t>/3</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11 </w:t>
            </w:r>
            <w:r>
              <w:t>π</w:t>
            </w:r>
            <w:r>
              <w:t>/6</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r w:rsidR="006A3898" w:rsidTr="003416F8">
        <w:trPr>
          <w:trHeight w:val="567"/>
          <w:jc w:val="center"/>
        </w:trPr>
        <w:tc>
          <w:tcPr>
            <w:tcW w:w="1495" w:type="dxa"/>
            <w:vAlign w:val="center"/>
          </w:tcPr>
          <w:p w:rsidR="006A3898" w:rsidRDefault="003416F8" w:rsidP="003416F8">
            <w:pPr>
              <w:jc w:val="center"/>
            </w:pPr>
            <w:r>
              <w:t xml:space="preserve">2 </w:t>
            </w:r>
            <w:r>
              <w:t>π</w:t>
            </w:r>
          </w:p>
        </w:tc>
        <w:tc>
          <w:tcPr>
            <w:tcW w:w="1396" w:type="dxa"/>
          </w:tcPr>
          <w:p w:rsidR="006A3898" w:rsidRDefault="006A3898"/>
        </w:tc>
        <w:tc>
          <w:tcPr>
            <w:tcW w:w="1487" w:type="dxa"/>
          </w:tcPr>
          <w:p w:rsidR="006A3898" w:rsidRDefault="006A3898"/>
        </w:tc>
        <w:tc>
          <w:tcPr>
            <w:tcW w:w="1390" w:type="dxa"/>
          </w:tcPr>
          <w:p w:rsidR="006A3898" w:rsidRDefault="006A3898"/>
        </w:tc>
        <w:tc>
          <w:tcPr>
            <w:tcW w:w="1456" w:type="dxa"/>
          </w:tcPr>
          <w:p w:rsidR="006A3898" w:rsidRDefault="006A3898"/>
        </w:tc>
        <w:tc>
          <w:tcPr>
            <w:tcW w:w="1763" w:type="dxa"/>
          </w:tcPr>
          <w:p w:rsidR="006A3898" w:rsidRDefault="006A3898"/>
        </w:tc>
      </w:tr>
    </w:tbl>
    <w:p w:rsidR="006A3898" w:rsidRDefault="006A3898"/>
    <w:p w:rsidR="006A3898" w:rsidRDefault="003416F8" w:rsidP="003416F8">
      <w:pPr>
        <w:pStyle w:val="ListParagraph"/>
        <w:numPr>
          <w:ilvl w:val="0"/>
          <w:numId w:val="1"/>
        </w:numPr>
      </w:pPr>
      <w:r>
        <w:t xml:space="preserve">What do you notice about the column of </w:t>
      </w:r>
      <w:r>
        <w:t xml:space="preserve">Sin </w:t>
      </w:r>
      <w:r w:rsidRPr="006A3898">
        <w:rPr>
          <w:vertAlign w:val="superscript"/>
        </w:rPr>
        <w:t>2</w:t>
      </w:r>
      <w:r>
        <w:t xml:space="preserve"> θ + Cos </w:t>
      </w:r>
      <w:r w:rsidRPr="006A3898">
        <w:rPr>
          <w:vertAlign w:val="superscript"/>
        </w:rPr>
        <w:t>2</w:t>
      </w:r>
      <w:r>
        <w:t xml:space="preserve"> θ</w:t>
      </w:r>
      <w:r>
        <w:t xml:space="preserve"> values?</w:t>
      </w:r>
    </w:p>
    <w:p w:rsidR="003416F8" w:rsidRDefault="003416F8" w:rsidP="003416F8"/>
    <w:p w:rsidR="003416F8" w:rsidRDefault="003416F8" w:rsidP="003416F8">
      <w:pPr>
        <w:rPr>
          <w:b/>
          <w:sz w:val="24"/>
        </w:rPr>
      </w:pPr>
      <w:r w:rsidRPr="003416F8">
        <w:rPr>
          <w:b/>
          <w:sz w:val="24"/>
        </w:rPr>
        <w:lastRenderedPageBreak/>
        <w:t>Plotting sinusoidal functions</w:t>
      </w:r>
    </w:p>
    <w:p w:rsidR="003416F8" w:rsidRDefault="003416F8" w:rsidP="003416F8">
      <w:r>
        <w:t>You are now going to use the values in your table to plot some graphs which you may meet in Physics:</w:t>
      </w:r>
    </w:p>
    <w:p w:rsidR="00513F13" w:rsidRDefault="00513F13" w:rsidP="003416F8">
      <w:bookmarkStart w:id="0" w:name="_GoBack"/>
      <w:bookmarkEnd w:id="0"/>
    </w:p>
    <w:p w:rsidR="003416F8" w:rsidRPr="007E476B" w:rsidRDefault="003416F8" w:rsidP="003416F8">
      <w:pPr>
        <w:pStyle w:val="ListParagraph"/>
        <w:numPr>
          <w:ilvl w:val="0"/>
          <w:numId w:val="1"/>
        </w:numPr>
        <w:rPr>
          <w:b/>
        </w:rPr>
      </w:pPr>
      <w:r w:rsidRPr="007E476B">
        <w:rPr>
          <w:b/>
        </w:rPr>
        <w:t>Wave graphs and waveforms:</w:t>
      </w:r>
    </w:p>
    <w:p w:rsidR="003416F8" w:rsidRDefault="003416F8" w:rsidP="003416F8">
      <w:pPr>
        <w:ind w:left="720"/>
      </w:pPr>
      <w:r>
        <w:t xml:space="preserve">Plot a graph of Sin θ on the y-axis against </w:t>
      </w:r>
      <w:r>
        <w:t>θ</w:t>
      </w:r>
      <w:r>
        <w:t xml:space="preserve"> on the x-axis. Note that the values of Sin </w:t>
      </w:r>
      <w:r>
        <w:t>θ</w:t>
      </w:r>
      <w:r>
        <w:t xml:space="preserve"> vary from -1 to +1, so you will need to draw your x-axis across the middle of the graph paper.  </w:t>
      </w:r>
      <w:r w:rsidRPr="007E476B">
        <w:rPr>
          <w:b/>
        </w:rPr>
        <w:t>Don’t try to work out decimal values of π – simply divide you x scale into 12 units of π/6.</w:t>
      </w:r>
    </w:p>
    <w:p w:rsidR="003416F8" w:rsidRDefault="007E476B" w:rsidP="007E476B">
      <w:pPr>
        <w:ind w:left="720"/>
      </w:pPr>
      <w:r>
        <w:t xml:space="preserve">When you have done this, add to your graph in different colour a plot of Cos </w:t>
      </w:r>
      <w:r>
        <w:t>θ</w:t>
      </w:r>
      <w:r>
        <w:t xml:space="preserve"> against </w:t>
      </w:r>
      <w:r>
        <w:t>θ</w:t>
      </w:r>
      <w:r>
        <w:t xml:space="preserve">, using the same </w:t>
      </w:r>
      <w:r>
        <w:t>θ</w:t>
      </w:r>
      <w:r>
        <w:t xml:space="preserve"> axis as before.</w:t>
      </w:r>
    </w:p>
    <w:p w:rsidR="007E476B" w:rsidRDefault="007E476B" w:rsidP="007E476B">
      <w:pPr>
        <w:ind w:left="720"/>
      </w:pPr>
    </w:p>
    <w:p w:rsidR="007E476B" w:rsidRPr="007E476B" w:rsidRDefault="007E476B" w:rsidP="007E476B">
      <w:pPr>
        <w:pStyle w:val="ListParagraph"/>
        <w:numPr>
          <w:ilvl w:val="0"/>
          <w:numId w:val="1"/>
        </w:numPr>
        <w:rPr>
          <w:b/>
        </w:rPr>
      </w:pPr>
      <w:r w:rsidRPr="007E476B">
        <w:rPr>
          <w:b/>
        </w:rPr>
        <w:t>Rotating Polaroids:</w:t>
      </w:r>
    </w:p>
    <w:p w:rsidR="007E476B" w:rsidRDefault="007E476B" w:rsidP="007E476B">
      <w:pPr>
        <w:spacing w:after="0"/>
        <w:ind w:left="720"/>
      </w:pPr>
      <w:r>
        <w:t>When two sheets of Polaroid are placed on top of each other and rotated, the light transmitted varies between full brightness and nothing. The intensity of the transmitted light is given by:</w:t>
      </w:r>
    </w:p>
    <w:p w:rsidR="007E476B" w:rsidRDefault="007E476B" w:rsidP="007E476B">
      <w:pPr>
        <w:spacing w:after="120"/>
        <w:ind w:left="720"/>
      </w:pPr>
      <w:r>
        <w:tab/>
      </w:r>
      <w:r>
        <w:tab/>
      </w:r>
      <w:r>
        <w:tab/>
      </w:r>
      <w:r>
        <w:tab/>
        <w:t>I = I</w:t>
      </w:r>
      <w:r w:rsidRPr="007E476B">
        <w:rPr>
          <w:vertAlign w:val="subscript"/>
        </w:rPr>
        <w:t>o</w:t>
      </w:r>
      <w:r>
        <w:t xml:space="preserve"> Cos </w:t>
      </w:r>
      <w:r w:rsidRPr="007E476B">
        <w:rPr>
          <w:vertAlign w:val="superscript"/>
        </w:rPr>
        <w:t>2</w:t>
      </w:r>
      <w:r>
        <w:t xml:space="preserve"> </w:t>
      </w:r>
      <w:r>
        <w:t>θ</w:t>
      </w:r>
    </w:p>
    <w:p w:rsidR="007E476B" w:rsidRDefault="007E476B" w:rsidP="007E476B">
      <w:pPr>
        <w:ind w:left="720"/>
      </w:pPr>
      <w:r>
        <w:t>Where I</w:t>
      </w:r>
      <w:r w:rsidRPr="007E476B">
        <w:rPr>
          <w:vertAlign w:val="subscript"/>
        </w:rPr>
        <w:t>o</w:t>
      </w:r>
      <w:r>
        <w:t xml:space="preserve"> is the maximum intensity and </w:t>
      </w:r>
      <w:r>
        <w:t>θ</w:t>
      </w:r>
      <w:r>
        <w:t xml:space="preserve"> is zero when the </w:t>
      </w:r>
      <w:proofErr w:type="spellStart"/>
      <w:r>
        <w:t>Polaroids</w:t>
      </w:r>
      <w:proofErr w:type="spellEnd"/>
      <w:r>
        <w:t xml:space="preserve"> are aligned.</w:t>
      </w:r>
    </w:p>
    <w:p w:rsidR="007E476B" w:rsidRDefault="007E476B" w:rsidP="007E476B">
      <w:pPr>
        <w:ind w:left="720"/>
      </w:pPr>
      <w:r>
        <w:t xml:space="preserve">Plot a graph of Cos </w:t>
      </w:r>
      <w:r w:rsidRPr="007E476B">
        <w:rPr>
          <w:vertAlign w:val="superscript"/>
        </w:rPr>
        <w:t>2</w:t>
      </w:r>
      <w:r>
        <w:t xml:space="preserve"> </w:t>
      </w:r>
      <w:r>
        <w:t>θ</w:t>
      </w:r>
      <w:r>
        <w:t xml:space="preserve"> </w:t>
      </w:r>
      <w:r>
        <w:t>on the y-axis against θ on the x-axis</w:t>
      </w:r>
      <w:r>
        <w:t>. In this case the y-axis values vary between 0 and 1.</w:t>
      </w:r>
    </w:p>
    <w:p w:rsidR="007E476B" w:rsidRDefault="007E476B" w:rsidP="007E476B">
      <w:pPr>
        <w:ind w:left="720"/>
      </w:pPr>
      <w:r>
        <w:t>You should find the graph plots the variation in intensity from light (1) to dark (0).</w:t>
      </w:r>
    </w:p>
    <w:p w:rsidR="007E476B" w:rsidRDefault="007E476B" w:rsidP="007E476B">
      <w:pPr>
        <w:ind w:left="720"/>
      </w:pPr>
    </w:p>
    <w:p w:rsidR="00513F13" w:rsidRPr="00513F13" w:rsidRDefault="00513F13" w:rsidP="00513F13">
      <w:pPr>
        <w:pStyle w:val="ListParagraph"/>
        <w:numPr>
          <w:ilvl w:val="0"/>
          <w:numId w:val="1"/>
        </w:numPr>
        <w:rPr>
          <w:b/>
        </w:rPr>
      </w:pPr>
      <w:proofErr w:type="spellStart"/>
      <w:r w:rsidRPr="00513F13">
        <w:rPr>
          <w:b/>
        </w:rPr>
        <w:t>Lissajous</w:t>
      </w:r>
      <w:proofErr w:type="spellEnd"/>
      <w:r w:rsidRPr="00513F13">
        <w:rPr>
          <w:b/>
        </w:rPr>
        <w:t xml:space="preserve"> Figures:</w:t>
      </w:r>
    </w:p>
    <w:p w:rsidR="00513F13" w:rsidRDefault="00513F13" w:rsidP="00513F13">
      <w:pPr>
        <w:ind w:left="720"/>
      </w:pPr>
      <w:r>
        <w:t xml:space="preserve">A possible extension activity for the C.R.O. experiment is to display the inputs from 2 separate signal generators on the 2 channels. By pressing the X-Y button, one signal is plotted against the other and it is possible to produce some interesting shapes. To model this, plot a graph of </w:t>
      </w:r>
      <w:r>
        <w:t>Sin θ on the y-axis</w:t>
      </w:r>
      <w:r>
        <w:t xml:space="preserve"> against Cos </w:t>
      </w:r>
      <w:r>
        <w:t xml:space="preserve">θ on the </w:t>
      </w:r>
      <w:r>
        <w:t>x</w:t>
      </w:r>
      <w:r>
        <w:t>-axis</w:t>
      </w:r>
      <w:r>
        <w:t>.</w:t>
      </w:r>
    </w:p>
    <w:p w:rsidR="00513F13" w:rsidRDefault="00513F13" w:rsidP="00513F13">
      <w:pPr>
        <w:ind w:left="720"/>
      </w:pPr>
      <w:r>
        <w:t>Note that both quantities vary from -1 to +1, and so the axes will need to be drawn in the middle of the graph paper, giving 4 quadrants.</w:t>
      </w:r>
    </w:p>
    <w:p w:rsidR="00513F13" w:rsidRPr="003416F8" w:rsidRDefault="00513F13" w:rsidP="00513F13">
      <w:pPr>
        <w:ind w:left="720"/>
      </w:pPr>
      <w:r>
        <w:t>What shape is produced?</w:t>
      </w:r>
    </w:p>
    <w:sectPr w:rsidR="00513F13" w:rsidRPr="003416F8" w:rsidSect="003416F8">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32FC"/>
    <w:multiLevelType w:val="hybridMultilevel"/>
    <w:tmpl w:val="E30E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CB"/>
    <w:rsid w:val="003416F8"/>
    <w:rsid w:val="00513F13"/>
    <w:rsid w:val="006A3898"/>
    <w:rsid w:val="006C09CB"/>
    <w:rsid w:val="007E476B"/>
    <w:rsid w:val="00C8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51330F-0F59-4D1A-9A72-A5AE17F68695}"/>
</file>

<file path=customXml/itemProps2.xml><?xml version="1.0" encoding="utf-8"?>
<ds:datastoreItem xmlns:ds="http://schemas.openxmlformats.org/officeDocument/2006/customXml" ds:itemID="{CC4D0D67-2489-4C34-9AE1-0436F81A557C}"/>
</file>

<file path=customXml/itemProps3.xml><?xml version="1.0" encoding="utf-8"?>
<ds:datastoreItem xmlns:ds="http://schemas.openxmlformats.org/officeDocument/2006/customXml" ds:itemID="{6B634960-2F9F-474B-9517-00754CAC3A7E}"/>
</file>

<file path=docProps/app.xml><?xml version="1.0" encoding="utf-8"?>
<Properties xmlns="http://schemas.openxmlformats.org/officeDocument/2006/extended-properties" xmlns:vt="http://schemas.openxmlformats.org/officeDocument/2006/docPropsVTypes">
  <Template>Normal</Template>
  <TotalTime>53</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Morgan</dc:creator>
  <cp:lastModifiedBy>Philip Morgan</cp:lastModifiedBy>
  <cp:revision>1</cp:revision>
  <dcterms:created xsi:type="dcterms:W3CDTF">2014-01-26T14:05:00Z</dcterms:created>
  <dcterms:modified xsi:type="dcterms:W3CDTF">2014-01-26T14:58:00Z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