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BD60FC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2</w:t>
      </w:r>
      <w:r w:rsidR="00EE37D0">
        <w:rPr>
          <w:rFonts w:cs="Arial"/>
          <w:b/>
          <w:sz w:val="24"/>
          <w:szCs w:val="24"/>
          <w:u w:val="single"/>
        </w:rPr>
        <w:t>1</w:t>
      </w:r>
      <w:r w:rsidR="00DC2C61">
        <w:rPr>
          <w:rFonts w:cs="Arial"/>
          <w:b/>
          <w:sz w:val="24"/>
          <w:szCs w:val="24"/>
          <w:u w:val="single"/>
        </w:rPr>
        <w:t xml:space="preserve">. </w:t>
      </w:r>
      <w:r w:rsidR="00EE37D0">
        <w:rPr>
          <w:rFonts w:cs="Arial"/>
          <w:b/>
          <w:sz w:val="24"/>
          <w:szCs w:val="24"/>
          <w:u w:val="single"/>
        </w:rPr>
        <w:t>Profit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</w:t>
      </w:r>
      <w:r w:rsidR="00076C3E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 xml:space="preserve">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2A7300">
        <w:rPr>
          <w:rFonts w:cs="Arial"/>
          <w:b/>
          <w:sz w:val="24"/>
          <w:szCs w:val="24"/>
        </w:rPr>
        <w:t>24</w:t>
      </w:r>
    </w:p>
    <w:p w:rsidR="00AD1F26" w:rsidRDefault="002A7300" w:rsidP="00AD1F26">
      <w:pPr>
        <w:pStyle w:val="ListParagraph"/>
        <w:numPr>
          <w:ilvl w:val="0"/>
          <w:numId w:val="18"/>
        </w:numPr>
        <w:ind w:left="426" w:hanging="426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Ltd is a tyre and exhaust centre. The table below shows data for month 1 of the financial year</w:t>
      </w:r>
      <w:r w:rsidR="00AD1F26">
        <w:rPr>
          <w:rFonts w:cs="Arial"/>
          <w:sz w:val="24"/>
          <w:szCs w:val="24"/>
        </w:rPr>
        <w:t>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384"/>
        <w:gridCol w:w="2835"/>
        <w:gridCol w:w="3402"/>
        <w:gridCol w:w="2410"/>
      </w:tblGrid>
      <w:tr w:rsidR="002A7300" w:rsidTr="00707ABE">
        <w:tc>
          <w:tcPr>
            <w:tcW w:w="1384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 sales</w:t>
            </w:r>
          </w:p>
        </w:tc>
        <w:tc>
          <w:tcPr>
            <w:tcW w:w="2835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 (direct costs)</w:t>
            </w:r>
          </w:p>
        </w:tc>
        <w:tc>
          <w:tcPr>
            <w:tcW w:w="3402" w:type="dxa"/>
          </w:tcPr>
          <w:p w:rsidR="002A7300" w:rsidRDefault="00707ABE" w:rsidP="00707A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Average expenses </w:t>
            </w:r>
            <w:r w:rsidR="002A7300">
              <w:rPr>
                <w:rFonts w:cs="Arial"/>
                <w:sz w:val="24"/>
                <w:szCs w:val="24"/>
              </w:rPr>
              <w:t>per customer</w:t>
            </w:r>
          </w:p>
        </w:tc>
        <w:tc>
          <w:tcPr>
            <w:tcW w:w="2410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Number of customers</w:t>
            </w:r>
          </w:p>
        </w:tc>
      </w:tr>
      <w:tr w:rsidR="002A7300" w:rsidTr="00707ABE">
        <w:tc>
          <w:tcPr>
            <w:tcW w:w="1384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£225 000</w:t>
            </w:r>
          </w:p>
        </w:tc>
        <w:tc>
          <w:tcPr>
            <w:tcW w:w="2835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£75 000</w:t>
            </w:r>
          </w:p>
        </w:tc>
        <w:tc>
          <w:tcPr>
            <w:tcW w:w="3402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£35</w:t>
            </w:r>
          </w:p>
        </w:tc>
        <w:tc>
          <w:tcPr>
            <w:tcW w:w="2410" w:type="dxa"/>
          </w:tcPr>
          <w:p w:rsidR="002A7300" w:rsidRDefault="002A7300" w:rsidP="002A73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1 500</w:t>
            </w:r>
          </w:p>
        </w:tc>
      </w:tr>
    </w:tbl>
    <w:p w:rsidR="002A7300" w:rsidRDefault="002A7300" w:rsidP="002A7300">
      <w:pPr>
        <w:pStyle w:val="ListParagraph"/>
        <w:ind w:left="1440"/>
        <w:rPr>
          <w:rFonts w:cs="Arial"/>
          <w:sz w:val="24"/>
          <w:szCs w:val="24"/>
        </w:rPr>
      </w:pPr>
    </w:p>
    <w:p w:rsidR="00AD1F26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gross profit for month 1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FA634B" w:rsidRPr="00EA09F7" w:rsidRDefault="00FA634B" w:rsidP="00FA634B">
      <w:pPr>
        <w:pStyle w:val="ListParagraph"/>
        <w:ind w:left="0"/>
        <w:rPr>
          <w:rFonts w:cs="Arial"/>
          <w:sz w:val="24"/>
          <w:szCs w:val="24"/>
        </w:rPr>
      </w:pPr>
      <w:r w:rsidRPr="00EA09F7">
        <w:rPr>
          <w:rFonts w:cs="Arial"/>
          <w:sz w:val="24"/>
          <w:szCs w:val="24"/>
        </w:rPr>
        <w:t>Gross Profit = Sale</w:t>
      </w:r>
      <w:r w:rsidR="00680A0C" w:rsidRPr="00EA09F7">
        <w:rPr>
          <w:rFonts w:cs="Arial"/>
          <w:sz w:val="24"/>
          <w:szCs w:val="24"/>
        </w:rPr>
        <w:t xml:space="preserve">s Revenue – </w:t>
      </w:r>
      <w:r w:rsidR="00C6627C" w:rsidRPr="00EA09F7">
        <w:rPr>
          <w:rFonts w:cs="Arial"/>
          <w:sz w:val="24"/>
          <w:szCs w:val="24"/>
        </w:rPr>
        <w:t>Cost of Sales</w:t>
      </w:r>
      <w:r w:rsidR="00680A0C" w:rsidRPr="00EA09F7">
        <w:rPr>
          <w:rFonts w:cs="Arial"/>
          <w:sz w:val="24"/>
          <w:szCs w:val="24"/>
        </w:rPr>
        <w:br/>
        <w:t>Gross Profit = £225 000 –</w:t>
      </w:r>
      <w:r w:rsidR="00C6627C" w:rsidRPr="00EA09F7">
        <w:rPr>
          <w:rFonts w:cs="Arial"/>
          <w:sz w:val="24"/>
          <w:szCs w:val="24"/>
        </w:rPr>
        <w:t xml:space="preserve"> £75 000</w:t>
      </w:r>
      <w:r w:rsidR="00680A0C" w:rsidRPr="00EA09F7">
        <w:rPr>
          <w:rFonts w:cs="Arial"/>
          <w:sz w:val="24"/>
          <w:szCs w:val="24"/>
        </w:rPr>
        <w:br/>
        <w:t xml:space="preserve">Gross Profit = </w:t>
      </w:r>
      <w:r w:rsidR="00680A0C" w:rsidRPr="00EA09F7">
        <w:rPr>
          <w:rFonts w:cs="Arial"/>
          <w:b/>
          <w:sz w:val="24"/>
          <w:szCs w:val="24"/>
          <w:u w:val="single"/>
        </w:rPr>
        <w:t>£</w:t>
      </w:r>
      <w:r w:rsidR="00C6627C" w:rsidRPr="00EA09F7">
        <w:rPr>
          <w:rFonts w:cs="Arial"/>
          <w:b/>
          <w:sz w:val="24"/>
          <w:szCs w:val="24"/>
          <w:u w:val="single"/>
        </w:rPr>
        <w:t>150 000</w:t>
      </w:r>
      <w:r w:rsidRPr="00EA09F7">
        <w:rPr>
          <w:rFonts w:cs="Arial"/>
          <w:sz w:val="24"/>
          <w:szCs w:val="24"/>
        </w:rPr>
        <w:br/>
      </w:r>
    </w:p>
    <w:p w:rsidR="002A7300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gross profit margin for month 1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680A0C" w:rsidRPr="00EA09F7" w:rsidRDefault="00680A0C" w:rsidP="00680A0C">
      <w:pPr>
        <w:pStyle w:val="ListParagraph"/>
        <w:ind w:left="0"/>
        <w:rPr>
          <w:rFonts w:cs="Arial"/>
          <w:sz w:val="24"/>
          <w:szCs w:val="24"/>
        </w:rPr>
      </w:pPr>
      <w:r w:rsidRPr="00EA09F7">
        <w:rPr>
          <w:rFonts w:cs="Arial"/>
          <w:sz w:val="24"/>
          <w:szCs w:val="24"/>
        </w:rPr>
        <w:t>Gross Profit Margin = Gross Profit x 100/ Revenue</w:t>
      </w:r>
      <w:r w:rsidRPr="00EA09F7">
        <w:rPr>
          <w:rFonts w:cs="Arial"/>
          <w:sz w:val="24"/>
          <w:szCs w:val="24"/>
        </w:rPr>
        <w:br/>
        <w:t xml:space="preserve">Gross Profit Margin = </w:t>
      </w:r>
      <w:r w:rsidR="00446306" w:rsidRPr="00EA09F7">
        <w:rPr>
          <w:rFonts w:cs="Arial"/>
          <w:sz w:val="24"/>
          <w:szCs w:val="24"/>
        </w:rPr>
        <w:t>£150 000/</w:t>
      </w:r>
      <w:r w:rsidR="00C6627C" w:rsidRPr="00EA09F7">
        <w:rPr>
          <w:rFonts w:cs="Arial"/>
          <w:sz w:val="24"/>
          <w:szCs w:val="24"/>
        </w:rPr>
        <w:t>£225 000</w:t>
      </w:r>
      <w:r w:rsidR="00446306" w:rsidRPr="00EA09F7">
        <w:rPr>
          <w:rFonts w:cs="Arial"/>
          <w:sz w:val="24"/>
          <w:szCs w:val="24"/>
        </w:rPr>
        <w:t xml:space="preserve"> x 100</w:t>
      </w:r>
      <w:r w:rsidRPr="00EA09F7">
        <w:rPr>
          <w:rFonts w:cs="Arial"/>
          <w:sz w:val="24"/>
          <w:szCs w:val="24"/>
        </w:rPr>
        <w:br/>
        <w:t xml:space="preserve">Gross Profit Margin = </w:t>
      </w:r>
      <w:r w:rsidR="00EA09F7" w:rsidRPr="00EA09F7">
        <w:rPr>
          <w:rFonts w:cs="Arial"/>
          <w:b/>
          <w:sz w:val="24"/>
          <w:szCs w:val="24"/>
          <w:u w:val="single"/>
        </w:rPr>
        <w:t>66.</w:t>
      </w:r>
      <w:r w:rsidR="00C6627C" w:rsidRPr="00EA09F7">
        <w:rPr>
          <w:rFonts w:cs="Arial"/>
          <w:b/>
          <w:sz w:val="24"/>
          <w:szCs w:val="24"/>
          <w:u w:val="single"/>
        </w:rPr>
        <w:t>7</w:t>
      </w:r>
      <w:r w:rsidR="00446306" w:rsidRPr="00EA09F7">
        <w:rPr>
          <w:rFonts w:cs="Arial"/>
          <w:b/>
          <w:sz w:val="24"/>
          <w:szCs w:val="24"/>
          <w:u w:val="single"/>
        </w:rPr>
        <w:t>%</w:t>
      </w:r>
    </w:p>
    <w:p w:rsidR="00C6627C" w:rsidRDefault="00C6627C" w:rsidP="00680A0C">
      <w:pPr>
        <w:pStyle w:val="ListParagraph"/>
        <w:ind w:left="0"/>
        <w:rPr>
          <w:rFonts w:cs="Arial"/>
          <w:sz w:val="24"/>
          <w:szCs w:val="24"/>
        </w:rPr>
      </w:pPr>
    </w:p>
    <w:p w:rsidR="002A7300" w:rsidRDefault="002A7300" w:rsidP="00AD1F26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operating </w:t>
      </w:r>
      <w:r w:rsidR="005A310B">
        <w:rPr>
          <w:rFonts w:cs="Arial"/>
          <w:sz w:val="24"/>
          <w:szCs w:val="24"/>
        </w:rPr>
        <w:t>profit (profit from operations)</w:t>
      </w:r>
      <w:r w:rsidR="00707ABE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C6627C" w:rsidRPr="00EA09F7" w:rsidRDefault="00C6627C" w:rsidP="00C6627C">
      <w:pPr>
        <w:pStyle w:val="ListParagraph"/>
        <w:ind w:left="0"/>
        <w:rPr>
          <w:rFonts w:cs="Arial"/>
          <w:sz w:val="24"/>
          <w:szCs w:val="24"/>
        </w:rPr>
      </w:pPr>
      <w:r w:rsidRPr="00EA09F7">
        <w:rPr>
          <w:rFonts w:cs="Arial"/>
          <w:sz w:val="24"/>
          <w:szCs w:val="24"/>
        </w:rPr>
        <w:t>Operating Profit = Gross Profit – Expenses</w:t>
      </w:r>
      <w:r w:rsidRPr="00EA09F7">
        <w:rPr>
          <w:rFonts w:cs="Arial"/>
          <w:sz w:val="24"/>
          <w:szCs w:val="24"/>
        </w:rPr>
        <w:br/>
        <w:t>Operating Profit = £150 000 – (35 x 1500)</w:t>
      </w:r>
      <w:r w:rsidRPr="00EA09F7">
        <w:rPr>
          <w:rFonts w:cs="Arial"/>
          <w:sz w:val="24"/>
          <w:szCs w:val="24"/>
        </w:rPr>
        <w:br/>
        <w:t>Operating Profit = £150 000 – £52 500</w:t>
      </w:r>
      <w:r w:rsidRPr="00EA09F7">
        <w:rPr>
          <w:rFonts w:cs="Arial"/>
          <w:sz w:val="24"/>
          <w:szCs w:val="24"/>
        </w:rPr>
        <w:br/>
        <w:t xml:space="preserve">Operating Profit = </w:t>
      </w:r>
      <w:r w:rsidRPr="00EA09F7">
        <w:rPr>
          <w:rFonts w:cs="Arial"/>
          <w:b/>
          <w:sz w:val="24"/>
          <w:szCs w:val="24"/>
          <w:u w:val="single"/>
        </w:rPr>
        <w:t>£97 500</w:t>
      </w:r>
    </w:p>
    <w:p w:rsidR="00C6627C" w:rsidRDefault="00C6627C" w:rsidP="00C6627C">
      <w:pPr>
        <w:pStyle w:val="ListParagraph"/>
        <w:ind w:left="0"/>
        <w:rPr>
          <w:rFonts w:cs="Arial"/>
          <w:sz w:val="24"/>
          <w:szCs w:val="24"/>
        </w:rPr>
      </w:pPr>
    </w:p>
    <w:p w:rsidR="002A7300" w:rsidRDefault="002A7300" w:rsidP="002A7300">
      <w:pPr>
        <w:pStyle w:val="ListParagraph"/>
        <w:numPr>
          <w:ilvl w:val="1"/>
          <w:numId w:val="1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proofErr w:type="spellStart"/>
      <w:r>
        <w:rPr>
          <w:rFonts w:cs="Arial"/>
          <w:sz w:val="24"/>
          <w:szCs w:val="24"/>
        </w:rPr>
        <w:t>Rora</w:t>
      </w:r>
      <w:proofErr w:type="spellEnd"/>
      <w:r>
        <w:rPr>
          <w:rFonts w:cs="Arial"/>
          <w:sz w:val="24"/>
          <w:szCs w:val="24"/>
        </w:rPr>
        <w:t xml:space="preserve"> </w:t>
      </w:r>
      <w:r w:rsidR="00707ABE">
        <w:rPr>
          <w:rFonts w:cs="Arial"/>
          <w:sz w:val="24"/>
          <w:szCs w:val="24"/>
        </w:rPr>
        <w:t>Ltd’s</w:t>
      </w:r>
      <w:r>
        <w:rPr>
          <w:rFonts w:cs="Arial"/>
          <w:sz w:val="24"/>
          <w:szCs w:val="24"/>
        </w:rPr>
        <w:t xml:space="preserve"> operating profit </w:t>
      </w:r>
      <w:r w:rsidR="00707ABE">
        <w:rPr>
          <w:rFonts w:cs="Arial"/>
          <w:sz w:val="24"/>
          <w:szCs w:val="24"/>
        </w:rPr>
        <w:t>margin (profit from operations)?</w:t>
      </w:r>
      <w:r>
        <w:rPr>
          <w:rFonts w:cs="Arial"/>
          <w:sz w:val="24"/>
          <w:szCs w:val="24"/>
        </w:rPr>
        <w:tab/>
        <w:t>/3 marks</w:t>
      </w:r>
    </w:p>
    <w:p w:rsidR="002A7300" w:rsidRPr="00EA09F7" w:rsidRDefault="00C6627C" w:rsidP="00C6627C">
      <w:pPr>
        <w:pStyle w:val="ListParagraph"/>
        <w:ind w:left="0"/>
        <w:rPr>
          <w:rFonts w:cs="Arial"/>
          <w:sz w:val="24"/>
          <w:szCs w:val="24"/>
        </w:rPr>
      </w:pPr>
      <w:r w:rsidRPr="00EA09F7">
        <w:rPr>
          <w:rFonts w:cs="Arial"/>
          <w:sz w:val="24"/>
          <w:szCs w:val="24"/>
        </w:rPr>
        <w:t>Operating Profit Margin = Operating Profit x 100/ Sales Revenue</w:t>
      </w:r>
      <w:r w:rsidRPr="00EA09F7">
        <w:rPr>
          <w:rFonts w:cs="Arial"/>
          <w:sz w:val="24"/>
          <w:szCs w:val="24"/>
        </w:rPr>
        <w:br/>
        <w:t>Operating Profit Margin = £97 500</w:t>
      </w:r>
      <w:r w:rsidR="00446306" w:rsidRPr="00EA09F7">
        <w:rPr>
          <w:rFonts w:cs="Arial"/>
          <w:sz w:val="24"/>
          <w:szCs w:val="24"/>
        </w:rPr>
        <w:t>/</w:t>
      </w:r>
      <w:r w:rsidRPr="00EA09F7">
        <w:rPr>
          <w:rFonts w:cs="Arial"/>
          <w:sz w:val="24"/>
          <w:szCs w:val="24"/>
        </w:rPr>
        <w:t>£225 000</w:t>
      </w:r>
      <w:r w:rsidR="00446306" w:rsidRPr="00EA09F7">
        <w:rPr>
          <w:rFonts w:cs="Arial"/>
          <w:sz w:val="24"/>
          <w:szCs w:val="24"/>
        </w:rPr>
        <w:t xml:space="preserve"> x 100</w:t>
      </w:r>
      <w:r w:rsidRPr="00EA09F7">
        <w:rPr>
          <w:rFonts w:cs="Arial"/>
          <w:sz w:val="24"/>
          <w:szCs w:val="24"/>
        </w:rPr>
        <w:br/>
      </w:r>
      <w:r w:rsidR="00446306" w:rsidRPr="00EA09F7">
        <w:rPr>
          <w:rFonts w:cs="Arial"/>
          <w:sz w:val="24"/>
          <w:szCs w:val="24"/>
        </w:rPr>
        <w:t xml:space="preserve">Operating Profit Margin = </w:t>
      </w:r>
      <w:r w:rsidR="00EA09F7" w:rsidRPr="00EA09F7">
        <w:rPr>
          <w:rFonts w:cs="Arial"/>
          <w:b/>
          <w:sz w:val="24"/>
          <w:szCs w:val="24"/>
          <w:u w:val="single"/>
        </w:rPr>
        <w:t>43.</w:t>
      </w:r>
      <w:r w:rsidRPr="00EA09F7">
        <w:rPr>
          <w:rFonts w:cs="Arial"/>
          <w:b/>
          <w:sz w:val="24"/>
          <w:szCs w:val="24"/>
          <w:u w:val="single"/>
        </w:rPr>
        <w:t>3</w:t>
      </w:r>
      <w:r w:rsidR="00446306" w:rsidRPr="00EA09F7">
        <w:rPr>
          <w:rFonts w:cs="Arial"/>
          <w:b/>
          <w:sz w:val="24"/>
          <w:szCs w:val="24"/>
          <w:u w:val="single"/>
        </w:rPr>
        <w:t>%</w:t>
      </w:r>
    </w:p>
    <w:p w:rsidR="00C6627C" w:rsidRDefault="00C6627C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EA09F7" w:rsidRPr="00C6627C" w:rsidRDefault="00EA09F7" w:rsidP="00C6627C">
      <w:pPr>
        <w:pStyle w:val="ListParagraph"/>
        <w:ind w:left="0"/>
        <w:rPr>
          <w:rFonts w:cs="Arial"/>
          <w:b/>
          <w:sz w:val="24"/>
          <w:szCs w:val="24"/>
        </w:rPr>
      </w:pPr>
    </w:p>
    <w:p w:rsidR="00AD1F26" w:rsidRDefault="002A7300" w:rsidP="00AD1F26">
      <w:pPr>
        <w:pStyle w:val="ListParagraph"/>
        <w:numPr>
          <w:ilvl w:val="0"/>
          <w:numId w:val="18"/>
        </w:numPr>
        <w:spacing w:before="24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Fawcet</w:t>
      </w:r>
      <w:r w:rsidR="00707ABE">
        <w:rPr>
          <w:rFonts w:cs="Arial"/>
          <w:sz w:val="24"/>
          <w:szCs w:val="24"/>
        </w:rPr>
        <w:t>t &amp; S</w:t>
      </w:r>
      <w:r>
        <w:rPr>
          <w:rFonts w:cs="Arial"/>
          <w:sz w:val="24"/>
          <w:szCs w:val="24"/>
        </w:rPr>
        <w:t>ons Ltd is a manufacturer of tractors. Use the information listed below to complete the key financial data table.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/14 marks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revenue in year 1 £21.2m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revenue in year 2 was 10% higher than year 1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sales in year 1 30% of sales revenue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 of sales in year 2 28% of sales revenue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Expenses in year 1 £10.3m</w:t>
      </w:r>
    </w:p>
    <w:p w:rsidR="002A7300" w:rsidRDefault="002A7300" w:rsidP="002A7300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Operating profit in year 2 £11.1m</w:t>
      </w:r>
    </w:p>
    <w:p w:rsidR="00AD1F26" w:rsidRPr="00707ABE" w:rsidRDefault="002A7300" w:rsidP="001C4E34">
      <w:pPr>
        <w:pStyle w:val="ListParagraph"/>
        <w:numPr>
          <w:ilvl w:val="0"/>
          <w:numId w:val="20"/>
        </w:numPr>
        <w:spacing w:before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Interest and taxation in year 1 and year 2 20% of operating profit</w:t>
      </w:r>
    </w:p>
    <w:tbl>
      <w:tblPr>
        <w:tblStyle w:val="TableGrid"/>
        <w:tblW w:w="4095" w:type="pct"/>
        <w:jc w:val="center"/>
        <w:tblLook w:val="04A0" w:firstRow="1" w:lastRow="0" w:firstColumn="1" w:lastColumn="0" w:noHBand="0" w:noVBand="1"/>
      </w:tblPr>
      <w:tblGrid>
        <w:gridCol w:w="4792"/>
        <w:gridCol w:w="1559"/>
        <w:gridCol w:w="1701"/>
      </w:tblGrid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BFBFBF" w:themeFill="background1" w:themeFillShade="BF"/>
          </w:tcPr>
          <w:p w:rsidR="002A7300" w:rsidRDefault="00707ABE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Key financial data for Fawcett and Sons Ltd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 1</w:t>
            </w:r>
          </w:p>
        </w:tc>
        <w:tc>
          <w:tcPr>
            <w:tcW w:w="1056" w:type="pct"/>
            <w:shd w:val="clear" w:color="auto" w:fill="BFBFBF" w:themeFill="background1" w:themeFillShade="BF"/>
          </w:tcPr>
          <w:p w:rsidR="002A7300" w:rsidRDefault="002A7300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Year 2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Sales revenue</w:t>
            </w:r>
          </w:p>
        </w:tc>
        <w:tc>
          <w:tcPr>
            <w:tcW w:w="968" w:type="pct"/>
          </w:tcPr>
          <w:p w:rsidR="002A7300" w:rsidRDefault="00446306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94128B">
              <w:rPr>
                <w:rFonts w:cs="Arial"/>
                <w:sz w:val="24"/>
                <w:szCs w:val="24"/>
              </w:rPr>
              <w:t>21 200 000</w:t>
            </w:r>
          </w:p>
        </w:tc>
        <w:tc>
          <w:tcPr>
            <w:tcW w:w="1056" w:type="pct"/>
          </w:tcPr>
          <w:p w:rsidR="002A7300" w:rsidRDefault="00446306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94128B">
              <w:rPr>
                <w:rFonts w:cs="Arial"/>
                <w:sz w:val="24"/>
                <w:szCs w:val="24"/>
              </w:rPr>
              <w:t>23 320 000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Cost of sales</w:t>
            </w:r>
          </w:p>
        </w:tc>
        <w:tc>
          <w:tcPr>
            <w:tcW w:w="968" w:type="pct"/>
          </w:tcPr>
          <w:p w:rsidR="002A7300" w:rsidRDefault="00446306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94128B">
              <w:rPr>
                <w:rFonts w:cs="Arial"/>
                <w:sz w:val="24"/>
                <w:szCs w:val="24"/>
              </w:rPr>
              <w:t>6 360 000</w:t>
            </w:r>
          </w:p>
        </w:tc>
        <w:tc>
          <w:tcPr>
            <w:tcW w:w="1056" w:type="pct"/>
          </w:tcPr>
          <w:p w:rsidR="002A7300" w:rsidRDefault="00446306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£</w:t>
            </w:r>
            <w:r w:rsidR="0094128B">
              <w:rPr>
                <w:rFonts w:cs="Arial"/>
                <w:sz w:val="24"/>
                <w:szCs w:val="24"/>
              </w:rPr>
              <w:t>6 529 600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Gross profit</w:t>
            </w:r>
          </w:p>
        </w:tc>
        <w:tc>
          <w:tcPr>
            <w:tcW w:w="968" w:type="pct"/>
          </w:tcPr>
          <w:p w:rsidR="002A7300" w:rsidRDefault="0094128B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14 840 000</w:t>
            </w:r>
          </w:p>
        </w:tc>
        <w:tc>
          <w:tcPr>
            <w:tcW w:w="1056" w:type="pct"/>
          </w:tcPr>
          <w:p w:rsidR="002A7300" w:rsidRDefault="0094128B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16 790 400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</w:t>
            </w:r>
          </w:p>
        </w:tc>
        <w:tc>
          <w:tcPr>
            <w:tcW w:w="968" w:type="pct"/>
          </w:tcPr>
          <w:p w:rsidR="002A7300" w:rsidRDefault="0094128B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10 300 000</w:t>
            </w:r>
          </w:p>
        </w:tc>
        <w:tc>
          <w:tcPr>
            <w:tcW w:w="1056" w:type="pct"/>
          </w:tcPr>
          <w:p w:rsidR="002A7300" w:rsidRDefault="00EA09F7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5 690 400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Operating profit</w:t>
            </w:r>
          </w:p>
        </w:tc>
        <w:tc>
          <w:tcPr>
            <w:tcW w:w="968" w:type="pct"/>
          </w:tcPr>
          <w:p w:rsidR="002A7300" w:rsidRDefault="00193B1D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4 540 000</w:t>
            </w:r>
          </w:p>
        </w:tc>
        <w:tc>
          <w:tcPr>
            <w:tcW w:w="1056" w:type="pct"/>
          </w:tcPr>
          <w:p w:rsidR="002A7300" w:rsidRDefault="0094128B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11 100 000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Interest and taxation</w:t>
            </w:r>
          </w:p>
        </w:tc>
        <w:tc>
          <w:tcPr>
            <w:tcW w:w="968" w:type="pct"/>
          </w:tcPr>
          <w:p w:rsidR="002A7300" w:rsidRDefault="00193B1D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908 000</w:t>
            </w:r>
          </w:p>
        </w:tc>
        <w:tc>
          <w:tcPr>
            <w:tcW w:w="1056" w:type="pct"/>
          </w:tcPr>
          <w:p w:rsidR="002A7300" w:rsidRDefault="00193B1D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2 220 000</w:t>
            </w:r>
          </w:p>
        </w:tc>
      </w:tr>
      <w:tr w:rsidR="002A7300" w:rsidTr="00707ABE">
        <w:trPr>
          <w:trHeight w:val="293"/>
          <w:jc w:val="center"/>
        </w:trPr>
        <w:tc>
          <w:tcPr>
            <w:tcW w:w="2976" w:type="pct"/>
            <w:shd w:val="clear" w:color="auto" w:fill="D9D9D9" w:themeFill="background1" w:themeFillShade="D9"/>
          </w:tcPr>
          <w:p w:rsidR="002A7300" w:rsidRDefault="002A7300" w:rsidP="001C4E3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Profit for the year</w:t>
            </w:r>
          </w:p>
        </w:tc>
        <w:tc>
          <w:tcPr>
            <w:tcW w:w="968" w:type="pct"/>
          </w:tcPr>
          <w:p w:rsidR="002A7300" w:rsidRPr="00C5051F" w:rsidRDefault="00C5051F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3 632 000</w:t>
            </w:r>
          </w:p>
        </w:tc>
        <w:tc>
          <w:tcPr>
            <w:tcW w:w="1056" w:type="pct"/>
          </w:tcPr>
          <w:p w:rsidR="002A7300" w:rsidRPr="00C5051F" w:rsidRDefault="00C5051F" w:rsidP="002A7300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8 880 000</w:t>
            </w:r>
          </w:p>
        </w:tc>
      </w:tr>
    </w:tbl>
    <w:p w:rsidR="00AD1F26" w:rsidRDefault="00AD1F26" w:rsidP="001C4E34">
      <w:pPr>
        <w:rPr>
          <w:rFonts w:cs="Arial"/>
          <w:sz w:val="24"/>
          <w:szCs w:val="24"/>
        </w:rPr>
      </w:pPr>
    </w:p>
    <w:p w:rsidR="001C4E34" w:rsidRPr="001C4E34" w:rsidRDefault="001C4E34" w:rsidP="001C4E34">
      <w:pPr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8C" w:rsidRDefault="006B0C8C" w:rsidP="00622ED4">
      <w:pPr>
        <w:spacing w:after="0" w:line="240" w:lineRule="auto"/>
      </w:pPr>
      <w:r>
        <w:separator/>
      </w:r>
    </w:p>
  </w:endnote>
  <w:endnote w:type="continuationSeparator" w:id="0">
    <w:p w:rsidR="006B0C8C" w:rsidRDefault="006B0C8C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9E" w:rsidRDefault="00134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134E9E">
    <w:pPr>
      <w:pStyle w:val="Footer"/>
      <w:jc w:val="center"/>
    </w:pPr>
    <w:bookmarkStart w:id="0" w:name="_GoBack"/>
    <w:r>
      <w:t>www.time2resources.co.uk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9E" w:rsidRDefault="00134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8C" w:rsidRDefault="006B0C8C" w:rsidP="00622ED4">
      <w:pPr>
        <w:spacing w:after="0" w:line="240" w:lineRule="auto"/>
      </w:pPr>
      <w:r>
        <w:separator/>
      </w:r>
    </w:p>
  </w:footnote>
  <w:footnote w:type="continuationSeparator" w:id="0">
    <w:p w:rsidR="006B0C8C" w:rsidRDefault="006B0C8C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9E" w:rsidRDefault="00134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58" w:rsidRDefault="00EE37D0">
    <w:pPr>
      <w:pStyle w:val="Header"/>
    </w:pPr>
    <w:r>
      <w:t>Edexcel</w:t>
    </w:r>
    <w:r w:rsidR="009F1258">
      <w:t xml:space="preserve"> Business Year 1</w:t>
    </w:r>
    <w:r w:rsidR="009F1258">
      <w:tab/>
    </w:r>
    <w:r w:rsidR="009F1258">
      <w:tab/>
      <w:t>Calculation Worksheets- Answers</w:t>
    </w:r>
    <w:r w:rsidR="00076C3E">
      <w:t>.</w:t>
    </w:r>
  </w:p>
  <w:p w:rsidR="00622ED4" w:rsidRDefault="00622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9E" w:rsidRDefault="00134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90FED"/>
    <w:multiLevelType w:val="hybridMultilevel"/>
    <w:tmpl w:val="4148D13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8650B"/>
    <w:multiLevelType w:val="hybridMultilevel"/>
    <w:tmpl w:val="06AC5172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62BD"/>
    <w:multiLevelType w:val="hybridMultilevel"/>
    <w:tmpl w:val="4F000F0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9"/>
  </w:num>
  <w:num w:numId="11">
    <w:abstractNumId w:val="10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576B3"/>
    <w:rsid w:val="000627B9"/>
    <w:rsid w:val="000634C1"/>
    <w:rsid w:val="00065F6D"/>
    <w:rsid w:val="00072666"/>
    <w:rsid w:val="000764AD"/>
    <w:rsid w:val="00076C3E"/>
    <w:rsid w:val="0008481E"/>
    <w:rsid w:val="00094D55"/>
    <w:rsid w:val="00097497"/>
    <w:rsid w:val="000A3973"/>
    <w:rsid w:val="000A62A4"/>
    <w:rsid w:val="000B2CC3"/>
    <w:rsid w:val="000B7A01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4E9E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3B1D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A7300"/>
    <w:rsid w:val="002C0592"/>
    <w:rsid w:val="002C23A1"/>
    <w:rsid w:val="002D38BD"/>
    <w:rsid w:val="002E30D0"/>
    <w:rsid w:val="00306F25"/>
    <w:rsid w:val="00307A18"/>
    <w:rsid w:val="00307BDF"/>
    <w:rsid w:val="00320C6C"/>
    <w:rsid w:val="0033168D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E10B4"/>
    <w:rsid w:val="003F47EA"/>
    <w:rsid w:val="00403836"/>
    <w:rsid w:val="004061BB"/>
    <w:rsid w:val="00407429"/>
    <w:rsid w:val="00407E21"/>
    <w:rsid w:val="00410A82"/>
    <w:rsid w:val="00417C59"/>
    <w:rsid w:val="00425941"/>
    <w:rsid w:val="00433F51"/>
    <w:rsid w:val="00446306"/>
    <w:rsid w:val="00450B9E"/>
    <w:rsid w:val="00463964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C2EB3"/>
    <w:rsid w:val="004E07E1"/>
    <w:rsid w:val="004E3741"/>
    <w:rsid w:val="004E40BD"/>
    <w:rsid w:val="004F0BB7"/>
    <w:rsid w:val="004F4413"/>
    <w:rsid w:val="004F5383"/>
    <w:rsid w:val="00505E6C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17CC"/>
    <w:rsid w:val="005A310B"/>
    <w:rsid w:val="005B65D1"/>
    <w:rsid w:val="005B6D96"/>
    <w:rsid w:val="005C0617"/>
    <w:rsid w:val="00602B59"/>
    <w:rsid w:val="00622E8A"/>
    <w:rsid w:val="00622ED4"/>
    <w:rsid w:val="006253A5"/>
    <w:rsid w:val="00631254"/>
    <w:rsid w:val="00642706"/>
    <w:rsid w:val="00642ACB"/>
    <w:rsid w:val="006458B5"/>
    <w:rsid w:val="00650C73"/>
    <w:rsid w:val="00661073"/>
    <w:rsid w:val="0066681E"/>
    <w:rsid w:val="00674EB5"/>
    <w:rsid w:val="00674F3E"/>
    <w:rsid w:val="0067640B"/>
    <w:rsid w:val="00680A0C"/>
    <w:rsid w:val="00686374"/>
    <w:rsid w:val="00695802"/>
    <w:rsid w:val="00695D8A"/>
    <w:rsid w:val="006A0F9F"/>
    <w:rsid w:val="006A286B"/>
    <w:rsid w:val="006A71FC"/>
    <w:rsid w:val="006B0C8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07ABE"/>
    <w:rsid w:val="0071278B"/>
    <w:rsid w:val="00715B02"/>
    <w:rsid w:val="007415B4"/>
    <w:rsid w:val="0075134C"/>
    <w:rsid w:val="00756ED7"/>
    <w:rsid w:val="00757546"/>
    <w:rsid w:val="00773A42"/>
    <w:rsid w:val="0078059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D83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128B"/>
    <w:rsid w:val="00942BCF"/>
    <w:rsid w:val="00950553"/>
    <w:rsid w:val="00950C7D"/>
    <w:rsid w:val="00952219"/>
    <w:rsid w:val="00955335"/>
    <w:rsid w:val="009613E3"/>
    <w:rsid w:val="00961D02"/>
    <w:rsid w:val="00965AD9"/>
    <w:rsid w:val="0096614E"/>
    <w:rsid w:val="00972426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741"/>
    <w:rsid w:val="009E69D9"/>
    <w:rsid w:val="009F1258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80CD9"/>
    <w:rsid w:val="00A83750"/>
    <w:rsid w:val="00A84479"/>
    <w:rsid w:val="00A87C6D"/>
    <w:rsid w:val="00A92148"/>
    <w:rsid w:val="00A9399D"/>
    <w:rsid w:val="00AA145A"/>
    <w:rsid w:val="00AB11B6"/>
    <w:rsid w:val="00AC08AF"/>
    <w:rsid w:val="00AC3702"/>
    <w:rsid w:val="00AD074A"/>
    <w:rsid w:val="00AD1F26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40C83"/>
    <w:rsid w:val="00C5051F"/>
    <w:rsid w:val="00C50819"/>
    <w:rsid w:val="00C56FED"/>
    <w:rsid w:val="00C573FB"/>
    <w:rsid w:val="00C6627C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C2C61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2C7B"/>
    <w:rsid w:val="00E5650E"/>
    <w:rsid w:val="00E86EB2"/>
    <w:rsid w:val="00E90A46"/>
    <w:rsid w:val="00E93738"/>
    <w:rsid w:val="00EA09F7"/>
    <w:rsid w:val="00EA5B99"/>
    <w:rsid w:val="00EB3045"/>
    <w:rsid w:val="00EB43D1"/>
    <w:rsid w:val="00EC13D6"/>
    <w:rsid w:val="00EC17CC"/>
    <w:rsid w:val="00EC77BC"/>
    <w:rsid w:val="00ED1603"/>
    <w:rsid w:val="00ED2B6D"/>
    <w:rsid w:val="00ED7580"/>
    <w:rsid w:val="00EE0DD5"/>
    <w:rsid w:val="00EE37D0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3C74"/>
    <w:rsid w:val="00F946CE"/>
    <w:rsid w:val="00F9483F"/>
    <w:rsid w:val="00FA28DA"/>
    <w:rsid w:val="00FA4763"/>
    <w:rsid w:val="00FA634B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3AA6-69CD-4D53-B54D-CD00AD09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7</cp:revision>
  <cp:lastPrinted>2015-03-29T11:11:00Z</cp:lastPrinted>
  <dcterms:created xsi:type="dcterms:W3CDTF">2015-08-07T13:51:00Z</dcterms:created>
  <dcterms:modified xsi:type="dcterms:W3CDTF">2015-08-16T08:39:00Z</dcterms:modified>
</cp:coreProperties>
</file>