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04" w:rsidRPr="009C6B04" w:rsidRDefault="00CD5F9F" w:rsidP="009C6B04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9C6B04">
        <w:rPr>
          <w:b/>
          <w:sz w:val="28"/>
        </w:rPr>
        <w:t>Internet Terms</w:t>
      </w:r>
    </w:p>
    <w:p w:rsidR="000262B4" w:rsidRDefault="009C6B04">
      <w:r>
        <w:t>Use Chapter 9.1 of the AS textbook (or the Internet itself) to look up and explain the following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Internet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Gateway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Router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Host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Communication channel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Packet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Packet-switched network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Source address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Destination address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The end-to-end principle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IP address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 w:rsidP="00CD5F9F">
            <w:r>
              <w:t>World Wide Web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Intranet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Domain Name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FQDN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DNS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CD5F9F">
            <w:r>
              <w:t>DNS Server</w:t>
            </w:r>
          </w:p>
        </w:tc>
        <w:tc>
          <w:tcPr>
            <w:tcW w:w="5529" w:type="dxa"/>
          </w:tcPr>
          <w:p w:rsidR="00CD5F9F" w:rsidRDefault="00CD5F9F"/>
        </w:tc>
      </w:tr>
      <w:tr w:rsidR="00CD5F9F" w:rsidTr="00CD5F9F">
        <w:trPr>
          <w:trHeight w:val="567"/>
        </w:trPr>
        <w:tc>
          <w:tcPr>
            <w:tcW w:w="3510" w:type="dxa"/>
          </w:tcPr>
          <w:p w:rsidR="00CD5F9F" w:rsidRDefault="009C6B04">
            <w:r>
              <w:t>Top level domain name</w:t>
            </w:r>
          </w:p>
        </w:tc>
        <w:tc>
          <w:tcPr>
            <w:tcW w:w="5529" w:type="dxa"/>
          </w:tcPr>
          <w:p w:rsidR="00CD5F9F" w:rsidRDefault="00CD5F9F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URL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Protocol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HTTP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URI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Internet Registries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Internet Registrar</w:t>
            </w:r>
          </w:p>
        </w:tc>
        <w:tc>
          <w:tcPr>
            <w:tcW w:w="5529" w:type="dxa"/>
          </w:tcPr>
          <w:p w:rsidR="009C6B04" w:rsidRDefault="009C6B04"/>
        </w:tc>
      </w:tr>
      <w:tr w:rsidR="009C6B04" w:rsidTr="00CD5F9F">
        <w:trPr>
          <w:trHeight w:val="567"/>
        </w:trPr>
        <w:tc>
          <w:tcPr>
            <w:tcW w:w="3510" w:type="dxa"/>
          </w:tcPr>
          <w:p w:rsidR="009C6B04" w:rsidRDefault="009C6B04">
            <w:r>
              <w:t>ISP</w:t>
            </w:r>
          </w:p>
        </w:tc>
        <w:tc>
          <w:tcPr>
            <w:tcW w:w="5529" w:type="dxa"/>
          </w:tcPr>
          <w:p w:rsidR="009C6B04" w:rsidRDefault="009C6B04"/>
        </w:tc>
      </w:tr>
    </w:tbl>
    <w:p w:rsidR="00CD5F9F" w:rsidRDefault="00CD5F9F"/>
    <w:sectPr w:rsidR="00CD5F9F" w:rsidSect="009C6B04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9F"/>
    <w:rsid w:val="000262B4"/>
    <w:rsid w:val="004957C3"/>
    <w:rsid w:val="009C6B04"/>
    <w:rsid w:val="00C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661C9A4C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2</cp:revision>
  <dcterms:created xsi:type="dcterms:W3CDTF">2015-01-28T08:21:00Z</dcterms:created>
  <dcterms:modified xsi:type="dcterms:W3CDTF">2015-01-28T08:21:00Z</dcterms:modified>
</cp:coreProperties>
</file>