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3AC" w:rsidRDefault="007F33AC"/>
    <w:p w:rsidR="001E3ACA" w:rsidRPr="001E3ACA" w:rsidRDefault="001E3ACA">
      <w:pPr>
        <w:rPr>
          <w:sz w:val="36"/>
          <w:szCs w:val="36"/>
        </w:rPr>
      </w:pPr>
      <w:r w:rsidRPr="001E3ACA">
        <w:rPr>
          <w:color w:val="FF0000"/>
          <w:sz w:val="36"/>
          <w:szCs w:val="36"/>
        </w:rPr>
        <w:t>Unit 2 errata</w:t>
      </w:r>
    </w:p>
    <w:p w:rsidR="00CB534D" w:rsidRDefault="001E3ACA" w:rsidP="00CB534D">
      <w:r>
        <w:t xml:space="preserve">Whilst every effort was made to correct errors before the book was published some errors were not corrected. These were not spotted by our two reviewers and a proof reading or if they were, their correction was unintentionally overlooked. </w:t>
      </w:r>
      <w:r w:rsidR="00CB534D">
        <w:t xml:space="preserve">These errors </w:t>
      </w:r>
      <w:r>
        <w:t xml:space="preserve">will </w:t>
      </w:r>
      <w:r w:rsidR="00CB534D">
        <w:t xml:space="preserve">be </w:t>
      </w:r>
      <w:r>
        <w:t>corrected in the next edition of the textbook. Our apologies if these errors</w:t>
      </w:r>
      <w:r w:rsidR="00CB534D">
        <w:t xml:space="preserve"> have</w:t>
      </w:r>
      <w:r>
        <w:t xml:space="preserve"> caused confusion.</w:t>
      </w:r>
    </w:p>
    <w:p w:rsidR="00CB534D" w:rsidRDefault="00CB534D" w:rsidP="00CB534D">
      <w:r>
        <w:t>Page 63 Table 5.4.4.3 should be</w:t>
      </w:r>
    </w:p>
    <w:tbl>
      <w:tblPr>
        <w:tblStyle w:val="TableGrid"/>
        <w:tblpPr w:leftFromText="180" w:rightFromText="180" w:vertAnchor="text" w:tblpY="-3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47"/>
        <w:gridCol w:w="1630"/>
        <w:gridCol w:w="1129"/>
      </w:tblGrid>
      <w:tr w:rsidR="00CB534D" w:rsidTr="00092A3C">
        <w:tc>
          <w:tcPr>
            <w:tcW w:w="1347" w:type="dxa"/>
            <w:shd w:val="clear" w:color="auto" w:fill="BDD6EE" w:themeFill="accent1" w:themeFillTint="66"/>
            <w:vAlign w:val="center"/>
          </w:tcPr>
          <w:p w:rsidR="00CB534D" w:rsidRDefault="00CB534D" w:rsidP="00092A3C">
            <w:pPr>
              <w:pStyle w:val="BodyText"/>
              <w:jc w:val="center"/>
              <w:rPr>
                <w:rStyle w:val="SubSubHeading"/>
              </w:rPr>
            </w:pPr>
            <w:r>
              <w:rPr>
                <w:rStyle w:val="SubSubHeading"/>
              </w:rPr>
              <w:t xml:space="preserve">Fractional </w:t>
            </w:r>
          </w:p>
          <w:p w:rsidR="00CB534D" w:rsidRDefault="00CB534D" w:rsidP="00092A3C">
            <w:pPr>
              <w:pStyle w:val="BodyText"/>
              <w:jc w:val="center"/>
              <w:rPr>
                <w:rStyle w:val="SubSubHeading"/>
              </w:rPr>
            </w:pPr>
            <w:r>
              <w:rPr>
                <w:rStyle w:val="SubSubHeading"/>
              </w:rPr>
              <w:t>part, F</w:t>
            </w:r>
          </w:p>
        </w:tc>
        <w:tc>
          <w:tcPr>
            <w:tcW w:w="1630" w:type="dxa"/>
            <w:shd w:val="clear" w:color="auto" w:fill="BDD6EE" w:themeFill="accent1" w:themeFillTint="66"/>
            <w:vAlign w:val="center"/>
          </w:tcPr>
          <w:p w:rsidR="00CB534D" w:rsidRDefault="00CB534D" w:rsidP="00092A3C">
            <w:pPr>
              <w:pStyle w:val="BodyText"/>
              <w:jc w:val="center"/>
              <w:rPr>
                <w:rStyle w:val="SubSubHeading"/>
              </w:rPr>
            </w:pPr>
            <w:r>
              <w:rPr>
                <w:rStyle w:val="SubSubHeading"/>
              </w:rPr>
              <w:t>R</w:t>
            </w:r>
          </w:p>
        </w:tc>
        <w:tc>
          <w:tcPr>
            <w:tcW w:w="1129" w:type="dxa"/>
            <w:shd w:val="clear" w:color="auto" w:fill="BDD6EE" w:themeFill="accent1" w:themeFillTint="66"/>
            <w:vAlign w:val="center"/>
          </w:tcPr>
          <w:p w:rsidR="00CB534D" w:rsidRDefault="00CB534D" w:rsidP="00092A3C">
            <w:pPr>
              <w:pStyle w:val="BodyText"/>
              <w:jc w:val="center"/>
              <w:rPr>
                <w:rStyle w:val="SubSubHeading"/>
              </w:rPr>
            </w:pPr>
            <w:r>
              <w:rPr>
                <w:rStyle w:val="SubSubHeading"/>
              </w:rPr>
              <w:t>Digit, D</w:t>
            </w:r>
          </w:p>
        </w:tc>
      </w:tr>
      <w:tr w:rsidR="00CB534D" w:rsidTr="00092A3C">
        <w:tc>
          <w:tcPr>
            <w:tcW w:w="1347" w:type="dxa"/>
            <w:shd w:val="clear" w:color="auto" w:fill="DEEAF6" w:themeFill="accent1" w:themeFillTint="33"/>
          </w:tcPr>
          <w:p w:rsidR="00CB534D" w:rsidRPr="00487B14" w:rsidRDefault="00CB534D" w:rsidP="00092A3C">
            <w:pPr>
              <w:pStyle w:val="BodyText"/>
              <w:jc w:val="center"/>
              <w:rPr>
                <w:rStyle w:val="Numbers"/>
              </w:rPr>
            </w:pPr>
            <w:r w:rsidRPr="00487B14">
              <w:rPr>
                <w:rStyle w:val="Numbers"/>
              </w:rPr>
              <w:t>0.</w:t>
            </w:r>
            <w:r>
              <w:rPr>
                <w:rStyle w:val="Numbers"/>
              </w:rPr>
              <w:t>1</w:t>
            </w:r>
          </w:p>
        </w:tc>
        <w:tc>
          <w:tcPr>
            <w:tcW w:w="1630" w:type="dxa"/>
            <w:shd w:val="clear" w:color="auto" w:fill="DEEAF6" w:themeFill="accent1" w:themeFillTint="33"/>
          </w:tcPr>
          <w:p w:rsidR="00CB534D" w:rsidRPr="00926FD4" w:rsidRDefault="00CB534D" w:rsidP="00092A3C">
            <w:pPr>
              <w:pStyle w:val="BodyText"/>
              <w:jc w:val="center"/>
              <w:rPr>
                <w:rStyle w:val="Numbers"/>
              </w:rPr>
            </w:pPr>
            <w:r w:rsidRPr="00926FD4">
              <w:rPr>
                <w:rStyle w:val="Numbers"/>
              </w:rPr>
              <w:t>0.1 x 2 = 0.2</w:t>
            </w:r>
          </w:p>
        </w:tc>
        <w:tc>
          <w:tcPr>
            <w:tcW w:w="1129" w:type="dxa"/>
            <w:shd w:val="clear" w:color="auto" w:fill="DEEAF6" w:themeFill="accent1" w:themeFillTint="33"/>
          </w:tcPr>
          <w:p w:rsidR="00CB534D" w:rsidRPr="00487B14" w:rsidRDefault="00CB534D" w:rsidP="00092A3C">
            <w:pPr>
              <w:pStyle w:val="BodyText"/>
              <w:jc w:val="center"/>
              <w:rPr>
                <w:rStyle w:val="Numbers"/>
              </w:rPr>
            </w:pPr>
            <w:r>
              <w:rPr>
                <w:rStyle w:val="Numbers"/>
              </w:rPr>
              <w:t>0</w:t>
            </w:r>
          </w:p>
        </w:tc>
      </w:tr>
      <w:tr w:rsidR="00CB534D" w:rsidTr="00092A3C">
        <w:tc>
          <w:tcPr>
            <w:tcW w:w="1347" w:type="dxa"/>
            <w:shd w:val="clear" w:color="auto" w:fill="DEEAF6" w:themeFill="accent1" w:themeFillTint="33"/>
          </w:tcPr>
          <w:p w:rsidR="00CB534D" w:rsidRPr="00487B14" w:rsidRDefault="00CB534D" w:rsidP="00092A3C">
            <w:pPr>
              <w:pStyle w:val="BodyText"/>
              <w:jc w:val="center"/>
              <w:rPr>
                <w:rStyle w:val="Numbers"/>
              </w:rPr>
            </w:pPr>
            <w:r w:rsidRPr="00487B14">
              <w:rPr>
                <w:rStyle w:val="Numbers"/>
              </w:rPr>
              <w:t>0.</w:t>
            </w:r>
            <w:r>
              <w:rPr>
                <w:rStyle w:val="Numbers"/>
              </w:rPr>
              <w:t>2</w:t>
            </w:r>
          </w:p>
        </w:tc>
        <w:tc>
          <w:tcPr>
            <w:tcW w:w="1630" w:type="dxa"/>
            <w:shd w:val="clear" w:color="auto" w:fill="DEEAF6" w:themeFill="accent1" w:themeFillTint="33"/>
          </w:tcPr>
          <w:p w:rsidR="00CB534D" w:rsidRPr="00926FD4" w:rsidRDefault="00CB534D" w:rsidP="00092A3C">
            <w:pPr>
              <w:pStyle w:val="BodyText"/>
              <w:jc w:val="center"/>
              <w:rPr>
                <w:rStyle w:val="Numbers"/>
              </w:rPr>
            </w:pPr>
            <w:r w:rsidRPr="00926FD4">
              <w:rPr>
                <w:rStyle w:val="Numbers"/>
              </w:rPr>
              <w:t>0.2 x 2 = 0.4</w:t>
            </w:r>
          </w:p>
        </w:tc>
        <w:tc>
          <w:tcPr>
            <w:tcW w:w="1129" w:type="dxa"/>
            <w:shd w:val="clear" w:color="auto" w:fill="DEEAF6" w:themeFill="accent1" w:themeFillTint="33"/>
          </w:tcPr>
          <w:p w:rsidR="00CB534D" w:rsidRPr="00487B14" w:rsidRDefault="00CB534D" w:rsidP="00092A3C">
            <w:pPr>
              <w:pStyle w:val="BodyText"/>
              <w:jc w:val="center"/>
              <w:rPr>
                <w:rStyle w:val="Numbers"/>
              </w:rPr>
            </w:pPr>
            <w:r>
              <w:rPr>
                <w:rStyle w:val="Numbers"/>
              </w:rPr>
              <w:t>0</w:t>
            </w:r>
          </w:p>
        </w:tc>
      </w:tr>
      <w:tr w:rsidR="00CB534D" w:rsidTr="00092A3C">
        <w:tc>
          <w:tcPr>
            <w:tcW w:w="1347" w:type="dxa"/>
            <w:shd w:val="clear" w:color="auto" w:fill="DEEAF6" w:themeFill="accent1" w:themeFillTint="33"/>
          </w:tcPr>
          <w:p w:rsidR="00CB534D" w:rsidRPr="00487B14" w:rsidRDefault="00CB534D" w:rsidP="00092A3C">
            <w:pPr>
              <w:pStyle w:val="BodyText"/>
              <w:jc w:val="center"/>
              <w:rPr>
                <w:rStyle w:val="Numbers"/>
              </w:rPr>
            </w:pPr>
            <w:r w:rsidRPr="00487B14">
              <w:rPr>
                <w:rStyle w:val="Numbers"/>
              </w:rPr>
              <w:t>0</w:t>
            </w:r>
            <w:r>
              <w:rPr>
                <w:rStyle w:val="Numbers"/>
              </w:rPr>
              <w:t>.4</w:t>
            </w:r>
          </w:p>
        </w:tc>
        <w:tc>
          <w:tcPr>
            <w:tcW w:w="1630" w:type="dxa"/>
            <w:shd w:val="clear" w:color="auto" w:fill="DEEAF6" w:themeFill="accent1" w:themeFillTint="33"/>
          </w:tcPr>
          <w:p w:rsidR="00CB534D" w:rsidRPr="00926FD4" w:rsidRDefault="00CB534D" w:rsidP="00092A3C">
            <w:pPr>
              <w:pStyle w:val="BodyText"/>
              <w:jc w:val="center"/>
              <w:rPr>
                <w:rStyle w:val="Numbers"/>
              </w:rPr>
            </w:pPr>
            <w:r w:rsidRPr="00926FD4">
              <w:rPr>
                <w:rStyle w:val="Numbers"/>
              </w:rPr>
              <w:t>0.4 x 2 = 0.8</w:t>
            </w:r>
          </w:p>
        </w:tc>
        <w:tc>
          <w:tcPr>
            <w:tcW w:w="1129" w:type="dxa"/>
            <w:shd w:val="clear" w:color="auto" w:fill="DEEAF6" w:themeFill="accent1" w:themeFillTint="33"/>
          </w:tcPr>
          <w:p w:rsidR="00CB534D" w:rsidRPr="006636EE" w:rsidRDefault="00CB534D" w:rsidP="00092A3C">
            <w:pPr>
              <w:pStyle w:val="BodyText"/>
              <w:jc w:val="center"/>
              <w:rPr>
                <w:rStyle w:val="SubSubHeading"/>
                <w:rFonts w:ascii="Arial" w:hAnsi="Arial" w:cs="Arial"/>
                <w:sz w:val="20"/>
                <w:szCs w:val="20"/>
              </w:rPr>
            </w:pPr>
            <w:r w:rsidRPr="006636EE">
              <w:rPr>
                <w:rStyle w:val="SubSubHeading"/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CB534D" w:rsidTr="00092A3C">
        <w:tc>
          <w:tcPr>
            <w:tcW w:w="1347" w:type="dxa"/>
            <w:shd w:val="clear" w:color="auto" w:fill="DEEAF6" w:themeFill="accent1" w:themeFillTint="33"/>
          </w:tcPr>
          <w:p w:rsidR="00CB534D" w:rsidRPr="00487B14" w:rsidRDefault="00CB534D" w:rsidP="00092A3C">
            <w:pPr>
              <w:pStyle w:val="BodyText"/>
              <w:jc w:val="center"/>
              <w:rPr>
                <w:rStyle w:val="Numbers"/>
              </w:rPr>
            </w:pPr>
            <w:r>
              <w:rPr>
                <w:rStyle w:val="Numbers"/>
              </w:rPr>
              <w:t>0.8</w:t>
            </w:r>
          </w:p>
        </w:tc>
        <w:tc>
          <w:tcPr>
            <w:tcW w:w="1630" w:type="dxa"/>
            <w:shd w:val="clear" w:color="auto" w:fill="DEEAF6" w:themeFill="accent1" w:themeFillTint="33"/>
          </w:tcPr>
          <w:p w:rsidR="00CB534D" w:rsidRPr="00926FD4" w:rsidRDefault="00CB534D" w:rsidP="00092A3C">
            <w:pPr>
              <w:pStyle w:val="BodyText"/>
              <w:jc w:val="center"/>
              <w:rPr>
                <w:rStyle w:val="Numbers"/>
              </w:rPr>
            </w:pPr>
            <w:r w:rsidRPr="00926FD4">
              <w:rPr>
                <w:rStyle w:val="Numbers"/>
              </w:rPr>
              <w:t>0.8 x 2 = 1.6</w:t>
            </w:r>
          </w:p>
        </w:tc>
        <w:tc>
          <w:tcPr>
            <w:tcW w:w="1129" w:type="dxa"/>
            <w:shd w:val="clear" w:color="auto" w:fill="DEEAF6" w:themeFill="accent1" w:themeFillTint="33"/>
          </w:tcPr>
          <w:p w:rsidR="00CB534D" w:rsidRPr="00926FD4" w:rsidRDefault="00CB534D" w:rsidP="00092A3C">
            <w:pPr>
              <w:pStyle w:val="BodyText"/>
              <w:jc w:val="center"/>
              <w:rPr>
                <w:rStyle w:val="Numbers"/>
              </w:rPr>
            </w:pPr>
            <w:r w:rsidRPr="00926FD4">
              <w:rPr>
                <w:rStyle w:val="Numbers"/>
              </w:rPr>
              <w:t>1</w:t>
            </w:r>
          </w:p>
        </w:tc>
      </w:tr>
      <w:tr w:rsidR="00CB534D" w:rsidTr="00092A3C">
        <w:tc>
          <w:tcPr>
            <w:tcW w:w="1347" w:type="dxa"/>
            <w:shd w:val="clear" w:color="auto" w:fill="DEEAF6" w:themeFill="accent1" w:themeFillTint="33"/>
          </w:tcPr>
          <w:p w:rsidR="00CB534D" w:rsidRDefault="00CB534D" w:rsidP="00092A3C">
            <w:pPr>
              <w:pStyle w:val="BodyText"/>
              <w:jc w:val="center"/>
              <w:rPr>
                <w:rStyle w:val="Numbers"/>
              </w:rPr>
            </w:pPr>
            <w:r>
              <w:rPr>
                <w:rStyle w:val="Numbers"/>
              </w:rPr>
              <w:t>0.6</w:t>
            </w:r>
          </w:p>
        </w:tc>
        <w:tc>
          <w:tcPr>
            <w:tcW w:w="1630" w:type="dxa"/>
            <w:shd w:val="clear" w:color="auto" w:fill="DEEAF6" w:themeFill="accent1" w:themeFillTint="33"/>
          </w:tcPr>
          <w:p w:rsidR="00CB534D" w:rsidRPr="00926FD4" w:rsidRDefault="00CB534D" w:rsidP="00092A3C">
            <w:pPr>
              <w:pStyle w:val="BodyText"/>
              <w:jc w:val="center"/>
              <w:rPr>
                <w:rStyle w:val="Numbers"/>
              </w:rPr>
            </w:pPr>
            <w:r>
              <w:rPr>
                <w:rStyle w:val="Numbers"/>
              </w:rPr>
              <w:t>0.6 x 2 = 1.2</w:t>
            </w:r>
          </w:p>
        </w:tc>
        <w:tc>
          <w:tcPr>
            <w:tcW w:w="1129" w:type="dxa"/>
            <w:shd w:val="clear" w:color="auto" w:fill="DEEAF6" w:themeFill="accent1" w:themeFillTint="33"/>
          </w:tcPr>
          <w:p w:rsidR="00CB534D" w:rsidRPr="00926FD4" w:rsidRDefault="00CB534D" w:rsidP="00092A3C">
            <w:pPr>
              <w:pStyle w:val="BodyText"/>
              <w:jc w:val="center"/>
              <w:rPr>
                <w:rStyle w:val="Numbers"/>
              </w:rPr>
            </w:pPr>
            <w:r>
              <w:rPr>
                <w:rStyle w:val="Numbers"/>
              </w:rPr>
              <w:t>1</w:t>
            </w:r>
          </w:p>
        </w:tc>
      </w:tr>
      <w:tr w:rsidR="00CB534D" w:rsidTr="00092A3C">
        <w:tc>
          <w:tcPr>
            <w:tcW w:w="1347" w:type="dxa"/>
            <w:shd w:val="clear" w:color="auto" w:fill="DEEAF6" w:themeFill="accent1" w:themeFillTint="33"/>
          </w:tcPr>
          <w:p w:rsidR="00CB534D" w:rsidRDefault="00CB534D" w:rsidP="00092A3C">
            <w:pPr>
              <w:pStyle w:val="BodyText"/>
              <w:jc w:val="center"/>
              <w:rPr>
                <w:rStyle w:val="Numbers"/>
              </w:rPr>
            </w:pPr>
            <w:r>
              <w:rPr>
                <w:rStyle w:val="Numbers"/>
              </w:rPr>
              <w:t>0.2</w:t>
            </w:r>
          </w:p>
        </w:tc>
        <w:tc>
          <w:tcPr>
            <w:tcW w:w="1630" w:type="dxa"/>
            <w:shd w:val="clear" w:color="auto" w:fill="DEEAF6" w:themeFill="accent1" w:themeFillTint="33"/>
          </w:tcPr>
          <w:p w:rsidR="00CB534D" w:rsidRPr="00926FD4" w:rsidRDefault="00CB534D" w:rsidP="00092A3C">
            <w:pPr>
              <w:pStyle w:val="BodyText"/>
              <w:jc w:val="center"/>
              <w:rPr>
                <w:rStyle w:val="Numbers"/>
              </w:rPr>
            </w:pPr>
            <w:r w:rsidRPr="00926FD4">
              <w:rPr>
                <w:rStyle w:val="Numbers"/>
              </w:rPr>
              <w:t>0.2 x 2 = 0.4</w:t>
            </w:r>
          </w:p>
        </w:tc>
        <w:tc>
          <w:tcPr>
            <w:tcW w:w="1129" w:type="dxa"/>
            <w:shd w:val="clear" w:color="auto" w:fill="DEEAF6" w:themeFill="accent1" w:themeFillTint="33"/>
          </w:tcPr>
          <w:p w:rsidR="00CB534D" w:rsidRPr="00487B14" w:rsidRDefault="00CB534D" w:rsidP="00092A3C">
            <w:pPr>
              <w:pStyle w:val="BodyText"/>
              <w:jc w:val="center"/>
              <w:rPr>
                <w:rStyle w:val="Numbers"/>
              </w:rPr>
            </w:pPr>
            <w:r>
              <w:rPr>
                <w:rStyle w:val="Numbers"/>
              </w:rPr>
              <w:t>0</w:t>
            </w:r>
          </w:p>
        </w:tc>
      </w:tr>
      <w:tr w:rsidR="00CB534D" w:rsidTr="00092A3C">
        <w:tc>
          <w:tcPr>
            <w:tcW w:w="1347" w:type="dxa"/>
            <w:shd w:val="clear" w:color="auto" w:fill="DEEAF6" w:themeFill="accent1" w:themeFillTint="33"/>
          </w:tcPr>
          <w:p w:rsidR="00CB534D" w:rsidRPr="00487B14" w:rsidRDefault="00CB534D" w:rsidP="00092A3C">
            <w:pPr>
              <w:pStyle w:val="BodyText"/>
              <w:jc w:val="center"/>
              <w:rPr>
                <w:rStyle w:val="Numbers"/>
              </w:rPr>
            </w:pPr>
            <w:r>
              <w:rPr>
                <w:rStyle w:val="Numbers"/>
              </w:rPr>
              <w:t>0.4</w:t>
            </w:r>
          </w:p>
        </w:tc>
        <w:tc>
          <w:tcPr>
            <w:tcW w:w="1630" w:type="dxa"/>
            <w:shd w:val="clear" w:color="auto" w:fill="DEEAF6" w:themeFill="accent1" w:themeFillTint="33"/>
          </w:tcPr>
          <w:p w:rsidR="00CB534D" w:rsidRPr="00926FD4" w:rsidRDefault="00CB534D" w:rsidP="00092A3C">
            <w:pPr>
              <w:pStyle w:val="BodyText"/>
              <w:jc w:val="center"/>
              <w:rPr>
                <w:rStyle w:val="Numbers"/>
              </w:rPr>
            </w:pPr>
            <w:r>
              <w:rPr>
                <w:rStyle w:val="Numbers"/>
              </w:rPr>
              <w:t>0.4 x 2 = 0.8</w:t>
            </w:r>
          </w:p>
        </w:tc>
        <w:tc>
          <w:tcPr>
            <w:tcW w:w="1129" w:type="dxa"/>
            <w:shd w:val="clear" w:color="auto" w:fill="DEEAF6" w:themeFill="accent1" w:themeFillTint="33"/>
          </w:tcPr>
          <w:p w:rsidR="00CB534D" w:rsidRPr="00926FD4" w:rsidRDefault="00CB534D" w:rsidP="00092A3C">
            <w:pPr>
              <w:pStyle w:val="BodyText"/>
              <w:jc w:val="center"/>
              <w:rPr>
                <w:rStyle w:val="Numbers"/>
              </w:rPr>
            </w:pPr>
            <w:r>
              <w:rPr>
                <w:rStyle w:val="Numbers"/>
              </w:rPr>
              <w:t>0</w:t>
            </w:r>
          </w:p>
        </w:tc>
      </w:tr>
      <w:tr w:rsidR="00CB534D" w:rsidTr="00092A3C">
        <w:tc>
          <w:tcPr>
            <w:tcW w:w="1347" w:type="dxa"/>
            <w:shd w:val="clear" w:color="auto" w:fill="DEEAF6" w:themeFill="accent1" w:themeFillTint="33"/>
          </w:tcPr>
          <w:p w:rsidR="00CB534D" w:rsidRDefault="00CB534D" w:rsidP="00092A3C">
            <w:pPr>
              <w:pStyle w:val="BodyText"/>
              <w:jc w:val="center"/>
              <w:rPr>
                <w:rStyle w:val="Numbers"/>
              </w:rPr>
            </w:pPr>
            <w:r>
              <w:rPr>
                <w:rStyle w:val="Numbers"/>
              </w:rPr>
              <w:t>0.8</w:t>
            </w:r>
          </w:p>
        </w:tc>
        <w:tc>
          <w:tcPr>
            <w:tcW w:w="1630" w:type="dxa"/>
            <w:shd w:val="clear" w:color="auto" w:fill="DEEAF6" w:themeFill="accent1" w:themeFillTint="33"/>
          </w:tcPr>
          <w:p w:rsidR="00CB534D" w:rsidRPr="00926FD4" w:rsidRDefault="00CB534D" w:rsidP="00092A3C">
            <w:pPr>
              <w:pStyle w:val="BodyText"/>
              <w:jc w:val="center"/>
              <w:rPr>
                <w:rStyle w:val="Numbers"/>
              </w:rPr>
            </w:pPr>
            <w:r>
              <w:rPr>
                <w:rStyle w:val="Numbers"/>
              </w:rPr>
              <w:t>0.8 x 2 = 1.6</w:t>
            </w:r>
          </w:p>
        </w:tc>
        <w:tc>
          <w:tcPr>
            <w:tcW w:w="1129" w:type="dxa"/>
            <w:shd w:val="clear" w:color="auto" w:fill="DEEAF6" w:themeFill="accent1" w:themeFillTint="33"/>
          </w:tcPr>
          <w:p w:rsidR="00CB534D" w:rsidRPr="00926FD4" w:rsidRDefault="00CB534D" w:rsidP="00092A3C">
            <w:pPr>
              <w:pStyle w:val="BodyText"/>
              <w:jc w:val="center"/>
              <w:rPr>
                <w:rStyle w:val="Numbers"/>
              </w:rPr>
            </w:pPr>
            <w:r>
              <w:rPr>
                <w:rStyle w:val="Numbers"/>
              </w:rPr>
              <w:t>1</w:t>
            </w:r>
          </w:p>
        </w:tc>
      </w:tr>
      <w:tr w:rsidR="00CB534D" w:rsidTr="00092A3C">
        <w:tc>
          <w:tcPr>
            <w:tcW w:w="1347" w:type="dxa"/>
            <w:shd w:val="clear" w:color="auto" w:fill="DEEAF6" w:themeFill="accent1" w:themeFillTint="33"/>
            <w:vAlign w:val="center"/>
          </w:tcPr>
          <w:p w:rsidR="00CB534D" w:rsidRDefault="00CB534D" w:rsidP="00092A3C">
            <w:pPr>
              <w:pStyle w:val="BodyText"/>
              <w:jc w:val="center"/>
              <w:rPr>
                <w:rStyle w:val="Numbers"/>
              </w:rPr>
            </w:pPr>
            <w:r>
              <w:rPr>
                <w:rStyle w:val="Numbers"/>
              </w:rPr>
              <w:t>0.6</w:t>
            </w:r>
          </w:p>
        </w:tc>
        <w:tc>
          <w:tcPr>
            <w:tcW w:w="1630" w:type="dxa"/>
            <w:shd w:val="clear" w:color="auto" w:fill="DEEAF6" w:themeFill="accent1" w:themeFillTint="33"/>
          </w:tcPr>
          <w:p w:rsidR="00CB534D" w:rsidRPr="00D61A2D" w:rsidRDefault="00CB534D" w:rsidP="00092A3C">
            <w:pPr>
              <w:pStyle w:val="BodyText"/>
              <w:jc w:val="center"/>
              <w:rPr>
                <w:rStyle w:val="SubSubHeading"/>
                <w:rFonts w:ascii="Arial" w:hAnsi="Arial" w:cs="Arial"/>
                <w:sz w:val="20"/>
                <w:szCs w:val="20"/>
              </w:rPr>
            </w:pPr>
            <w:r w:rsidRPr="00D61A2D">
              <w:rPr>
                <w:rStyle w:val="SubSubHeading"/>
                <w:rFonts w:ascii="Arial" w:hAnsi="Arial" w:cs="Arial"/>
                <w:color w:val="000000" w:themeColor="text1"/>
                <w:sz w:val="20"/>
                <w:szCs w:val="20"/>
              </w:rPr>
              <w:t>0.6 x 2 = 1.2</w:t>
            </w:r>
          </w:p>
        </w:tc>
        <w:tc>
          <w:tcPr>
            <w:tcW w:w="1129" w:type="dxa"/>
            <w:shd w:val="clear" w:color="auto" w:fill="DEEAF6" w:themeFill="accent1" w:themeFillTint="33"/>
          </w:tcPr>
          <w:p w:rsidR="00CB534D" w:rsidRPr="00D61A2D" w:rsidRDefault="00CB534D" w:rsidP="00092A3C">
            <w:pPr>
              <w:pStyle w:val="BodyText"/>
              <w:jc w:val="center"/>
              <w:rPr>
                <w:rStyle w:val="SubSubHeading"/>
                <w:rFonts w:ascii="Arial" w:hAnsi="Arial" w:cs="Arial"/>
                <w:sz w:val="20"/>
                <w:szCs w:val="20"/>
              </w:rPr>
            </w:pPr>
            <w:r w:rsidRPr="00D61A2D">
              <w:rPr>
                <w:rStyle w:val="SubSubHeading"/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CB534D" w:rsidTr="00092A3C">
        <w:tc>
          <w:tcPr>
            <w:tcW w:w="1347" w:type="dxa"/>
            <w:shd w:val="clear" w:color="auto" w:fill="DEEAF6" w:themeFill="accent1" w:themeFillTint="33"/>
            <w:vAlign w:val="center"/>
          </w:tcPr>
          <w:p w:rsidR="00CB534D" w:rsidRPr="00487B14" w:rsidRDefault="00CB534D" w:rsidP="00092A3C">
            <w:pPr>
              <w:pStyle w:val="BodyText"/>
              <w:jc w:val="center"/>
              <w:rPr>
                <w:rStyle w:val="Numbers"/>
              </w:rPr>
            </w:pPr>
            <w:r>
              <w:rPr>
                <w:rStyle w:val="Numbers"/>
              </w:rPr>
              <w:t>0.2</w:t>
            </w:r>
          </w:p>
        </w:tc>
        <w:tc>
          <w:tcPr>
            <w:tcW w:w="1630" w:type="dxa"/>
            <w:shd w:val="clear" w:color="auto" w:fill="DEEAF6" w:themeFill="accent1" w:themeFillTint="33"/>
          </w:tcPr>
          <w:p w:rsidR="00CB534D" w:rsidRDefault="00CB534D" w:rsidP="00092A3C">
            <w:pPr>
              <w:pStyle w:val="BodyText"/>
              <w:jc w:val="center"/>
              <w:rPr>
                <w:rStyle w:val="SubSubHeading"/>
              </w:rPr>
            </w:pPr>
            <w:r>
              <w:rPr>
                <w:rStyle w:val="SubSubHeading"/>
              </w:rPr>
              <w:t>(Previous 4 steps now repeat)</w:t>
            </w:r>
          </w:p>
        </w:tc>
        <w:tc>
          <w:tcPr>
            <w:tcW w:w="1129" w:type="dxa"/>
            <w:shd w:val="clear" w:color="auto" w:fill="DEEAF6" w:themeFill="accent1" w:themeFillTint="33"/>
          </w:tcPr>
          <w:p w:rsidR="00CB534D" w:rsidRDefault="00CB534D" w:rsidP="00092A3C">
            <w:pPr>
              <w:pStyle w:val="BodyText"/>
              <w:jc w:val="center"/>
              <w:rPr>
                <w:rStyle w:val="SubSubHeading"/>
              </w:rPr>
            </w:pPr>
          </w:p>
        </w:tc>
      </w:tr>
    </w:tbl>
    <w:p w:rsidR="00CB534D" w:rsidRDefault="00CB534D" w:rsidP="00CB534D"/>
    <w:p w:rsidR="00CB534D" w:rsidRDefault="00CB534D" w:rsidP="00CB534D"/>
    <w:p w:rsidR="00CB534D" w:rsidRDefault="00CB534D" w:rsidP="00CB534D"/>
    <w:p w:rsidR="00CB534D" w:rsidRDefault="00CB534D" w:rsidP="00CB534D"/>
    <w:p w:rsidR="00CB534D" w:rsidRDefault="00CB534D" w:rsidP="00CB534D"/>
    <w:p w:rsidR="00CB534D" w:rsidRDefault="00CB534D" w:rsidP="00CB534D"/>
    <w:p w:rsidR="00CB534D" w:rsidRDefault="00CB534D" w:rsidP="00CB534D"/>
    <w:p w:rsidR="00CB534D" w:rsidRDefault="00CB534D" w:rsidP="00CB534D"/>
    <w:p w:rsidR="00CB534D" w:rsidRDefault="00CB534D" w:rsidP="00CB534D"/>
    <w:p w:rsidR="00CB534D" w:rsidRDefault="00CB534D" w:rsidP="00CB534D">
      <w:pPr>
        <w:pStyle w:val="BodyText"/>
      </w:pPr>
      <w:r>
        <w:t xml:space="preserve">Table </w:t>
      </w:r>
      <w:r w:rsidRPr="00926FD4">
        <w:rPr>
          <w:rStyle w:val="FigureNo"/>
        </w:rPr>
        <w:t>5.4.4.</w:t>
      </w:r>
      <w:r>
        <w:rPr>
          <w:rStyle w:val="FigureNo"/>
        </w:rPr>
        <w:t>3</w:t>
      </w:r>
      <w:r>
        <w:t xml:space="preserve"> Repeating binary pattern for which </w:t>
      </w:r>
      <w:r>
        <w:rPr>
          <w:rStyle w:val="Code"/>
        </w:rPr>
        <w:t xml:space="preserve">F </w:t>
      </w:r>
      <w:r>
        <w:rPr>
          <w:rStyle w:val="Code"/>
          <w:rFonts w:cs="Courier New"/>
        </w:rPr>
        <w:t>≠</w:t>
      </w:r>
      <w:r w:rsidRPr="006A1A16">
        <w:rPr>
          <w:rStyle w:val="Code"/>
        </w:rPr>
        <w:t xml:space="preserve"> 0</w:t>
      </w:r>
      <w:r>
        <w:rPr>
          <w:rStyle w:val="Code"/>
        </w:rPr>
        <w:t xml:space="preserve"> </w:t>
      </w:r>
      <w:r w:rsidRPr="00C8535B">
        <w:t xml:space="preserve">and </w:t>
      </w:r>
      <w:r w:rsidRPr="00E865FC">
        <w:rPr>
          <w:rStyle w:val="Code"/>
        </w:rPr>
        <w:t xml:space="preserve">F </w:t>
      </w:r>
      <w:r>
        <w:rPr>
          <w:rStyle w:val="Code"/>
          <w:rFonts w:cs="Courier New"/>
        </w:rPr>
        <w:t>≠</w:t>
      </w:r>
      <w:r w:rsidRPr="00E865FC">
        <w:rPr>
          <w:rStyle w:val="Code"/>
        </w:rPr>
        <w:t xml:space="preserve"> OrigF</w:t>
      </w:r>
      <w:r>
        <w:t>.</w:t>
      </w:r>
    </w:p>
    <w:p w:rsidR="00CB534D" w:rsidRDefault="00CB534D"/>
    <w:p w:rsidR="007F33AC" w:rsidRDefault="007F33AC">
      <w:r>
        <w:t>Page 82: Table 7.3.3.5 contains an error in the Opcode column, B &lt;condition&gt; &lt;lable&gt; row</w:t>
      </w:r>
    </w:p>
    <w:p w:rsidR="001E3ACA" w:rsidRDefault="001E3ACA">
      <w:r>
        <w:t>It should have been as follows</w:t>
      </w:r>
    </w:p>
    <w:p w:rsidR="001E3ACA" w:rsidRDefault="001E3ACA">
      <w:r>
        <w:t>011101</w:t>
      </w:r>
    </w:p>
    <w:p w:rsidR="001E3ACA" w:rsidRDefault="001E3ACA">
      <w:r>
        <w:t>011110</w:t>
      </w:r>
    </w:p>
    <w:p w:rsidR="001E3ACA" w:rsidRDefault="001E3ACA">
      <w:r>
        <w:t>011111</w:t>
      </w:r>
    </w:p>
    <w:p w:rsidR="001E3ACA" w:rsidRDefault="001E3ACA">
      <w:r>
        <w:t>100000</w:t>
      </w:r>
    </w:p>
    <w:p w:rsidR="001E3ACA" w:rsidRDefault="001E3ACA">
      <w:r>
        <w:t>Page 188: “...first convert the plaintext letters to their ...” should have been “...first convert the ciphertext letters to their ...”</w:t>
      </w:r>
    </w:p>
    <w:p w:rsidR="00511ECB" w:rsidRDefault="007F33AC">
      <w:r>
        <w:t>Page 191: 2, 14, 26, 36 should have been 2, 14, 26, 38 as in Figure 6.10.10</w:t>
      </w:r>
    </w:p>
    <w:p w:rsidR="007F33AC" w:rsidRDefault="007F33AC">
      <w:r>
        <w:t>Page 206: In Table 6.10.3 the row 1 1 1 should have been 1 0 1 and the last row 1 1 0</w:t>
      </w:r>
      <w:r w:rsidR="00FA3902">
        <w:t>. See page 235, Figure 6.4.1.14 for correct truth table.</w:t>
      </w:r>
    </w:p>
    <w:p w:rsidR="00635636" w:rsidRDefault="00635636">
      <w:r>
        <w:t>Page 248 Figure 6.5.1.2 In the Truth table for A OR NOT A, the two values in the output column should both be one.</w:t>
      </w:r>
    </w:p>
    <w:p w:rsidR="00261CD3" w:rsidRDefault="00261CD3" w:rsidP="00261CD3">
      <w:pPr>
        <w:pStyle w:val="PageText"/>
        <w:jc w:val="both"/>
        <w:rPr>
          <w:rFonts w:asciiTheme="minorHAnsi" w:hAnsiTheme="minorHAnsi"/>
        </w:rPr>
      </w:pPr>
      <w:r w:rsidRPr="00261CD3">
        <w:rPr>
          <w:rFonts w:asciiTheme="minorHAnsi" w:hAnsiTheme="minorHAnsi"/>
        </w:rPr>
        <w:t>Page 495:</w:t>
      </w:r>
      <w:r>
        <w:rPr>
          <w:rFonts w:asciiTheme="minorHAnsi" w:hAnsiTheme="minorHAnsi"/>
        </w:rPr>
        <w:t xml:space="preserve"> The following was accidently hidden behind Question 8 –</w:t>
      </w:r>
    </w:p>
    <w:p w:rsidR="00261CD3" w:rsidRPr="00261CD3" w:rsidRDefault="00261CD3" w:rsidP="00261CD3">
      <w:pPr>
        <w:pStyle w:val="PageText"/>
        <w:ind w:left="2880"/>
        <w:jc w:val="both"/>
        <w:rPr>
          <w:rFonts w:asciiTheme="minorHAnsi" w:hAnsiTheme="minorHAnsi"/>
        </w:rPr>
      </w:pPr>
      <w:r w:rsidRPr="00261CD3">
        <w:rPr>
          <w:rFonts w:asciiTheme="minorHAnsi" w:hAnsiTheme="minorHAnsi"/>
        </w:rPr>
        <w:t xml:space="preserve"> </w:t>
      </w:r>
      <w:proofErr w:type="gramStart"/>
      <w:r w:rsidRPr="00261CD3">
        <w:rPr>
          <w:rFonts w:asciiTheme="minorHAnsi" w:hAnsiTheme="minorHAnsi" w:cs="Adobe Garamond Pro Bold"/>
          <w:b/>
          <w:bCs/>
        </w:rPr>
        <w:t>Car</w:t>
      </w:r>
      <w:r w:rsidRPr="00261CD3">
        <w:rPr>
          <w:rFonts w:asciiTheme="minorHAnsi" w:hAnsiTheme="minorHAnsi"/>
        </w:rPr>
        <w:t>(</w:t>
      </w:r>
      <w:proofErr w:type="gramEnd"/>
      <w:r w:rsidRPr="00261CD3">
        <w:rPr>
          <w:rFonts w:asciiTheme="minorHAnsi" w:hAnsiTheme="minorHAnsi"/>
          <w:u w:val="thick"/>
        </w:rPr>
        <w:t>CarId</w:t>
      </w:r>
      <w:r w:rsidRPr="00261CD3">
        <w:rPr>
          <w:rFonts w:asciiTheme="minorHAnsi" w:hAnsiTheme="minorHAnsi"/>
        </w:rPr>
        <w:t xml:space="preserve">, CarModel, </w:t>
      </w:r>
      <w:r w:rsidRPr="00261CD3">
        <w:rPr>
          <w:rFonts w:asciiTheme="minorHAnsi" w:hAnsiTheme="minorHAnsi"/>
          <w:i/>
          <w:iCs/>
        </w:rPr>
        <w:t>DriverId</w:t>
      </w:r>
      <w:r w:rsidRPr="00261CD3">
        <w:rPr>
          <w:rFonts w:asciiTheme="minorHAnsi" w:hAnsiTheme="minorHAnsi"/>
        </w:rPr>
        <w:t>, …..)</w:t>
      </w:r>
    </w:p>
    <w:p w:rsidR="006763DC" w:rsidRDefault="006763DC">
      <w:r>
        <w:lastRenderedPageBreak/>
        <w:t>Page 567 Python code:</w:t>
      </w:r>
    </w:p>
    <w:p w:rsidR="00A618BA" w:rsidRDefault="00A618BA" w:rsidP="00261CD3">
      <w:pPr>
        <w:spacing w:after="80"/>
        <w:rPr>
          <w:rFonts w:cs="Courier New"/>
        </w:rPr>
      </w:pPr>
      <w:r>
        <w:rPr>
          <w:rFonts w:cs="Courier New"/>
        </w:rPr>
        <w:t xml:space="preserve">We first define a function </w:t>
      </w:r>
      <w:r w:rsidRPr="00A618BA">
        <w:rPr>
          <w:rFonts w:ascii="Courier New" w:hAnsi="Courier New" w:cs="Courier New"/>
          <w:sz w:val="20"/>
          <w:szCs w:val="20"/>
        </w:rPr>
        <w:t>double</w:t>
      </w:r>
      <w:r w:rsidRPr="00A618BA">
        <w:rPr>
          <w:rFonts w:cs="Courier New"/>
        </w:rPr>
        <w:t xml:space="preserve"> which takes two arguments</w:t>
      </w:r>
      <w:r w:rsidRPr="006763DC">
        <w:rPr>
          <w:rFonts w:cs="Courier New"/>
        </w:rPr>
        <w:t xml:space="preserve">, </w:t>
      </w:r>
      <w:r>
        <w:rPr>
          <w:rFonts w:ascii="Courier New" w:hAnsi="Courier New" w:cs="Courier New"/>
          <w:sz w:val="20"/>
          <w:szCs w:val="20"/>
        </w:rPr>
        <w:t>afunction</w:t>
      </w:r>
      <w:r w:rsidRPr="006763DC">
        <w:rPr>
          <w:rFonts w:cs="Courier New"/>
        </w:rPr>
        <w:t xml:space="preserve"> and </w:t>
      </w:r>
      <w:r>
        <w:rPr>
          <w:rFonts w:ascii="Courier New" w:hAnsi="Courier New" w:cs="Courier New"/>
          <w:sz w:val="20"/>
          <w:szCs w:val="20"/>
        </w:rPr>
        <w:t>x</w:t>
      </w:r>
      <w:r>
        <w:rPr>
          <w:rFonts w:cs="Courier New"/>
        </w:rPr>
        <w:t xml:space="preserve">. The argument </w:t>
      </w:r>
      <w:r>
        <w:rPr>
          <w:rFonts w:ascii="Courier New" w:hAnsi="Courier New" w:cs="Courier New"/>
          <w:sz w:val="20"/>
          <w:szCs w:val="20"/>
        </w:rPr>
        <w:t>afunction</w:t>
      </w:r>
      <w:r>
        <w:rPr>
          <w:rFonts w:cs="Courier New"/>
        </w:rPr>
        <w:t xml:space="preserve"> is a function type and the argument </w:t>
      </w:r>
      <w:r>
        <w:rPr>
          <w:rFonts w:ascii="Courier New" w:hAnsi="Courier New" w:cs="Courier New"/>
          <w:sz w:val="20"/>
          <w:szCs w:val="20"/>
        </w:rPr>
        <w:t>x</w:t>
      </w:r>
      <w:r>
        <w:rPr>
          <w:rFonts w:cs="Courier New"/>
        </w:rPr>
        <w:t xml:space="preserve"> has type integer. The function </w:t>
      </w:r>
      <w:r w:rsidRPr="00A618BA">
        <w:rPr>
          <w:rFonts w:ascii="Courier New" w:hAnsi="Courier New" w:cs="Courier New"/>
          <w:sz w:val="20"/>
          <w:szCs w:val="20"/>
        </w:rPr>
        <w:t>double</w:t>
      </w:r>
      <w:r>
        <w:rPr>
          <w:rFonts w:cs="Courier New"/>
        </w:rPr>
        <w:t xml:space="preserve"> returns </w:t>
      </w:r>
      <w:r w:rsidRPr="00A618BA">
        <w:rPr>
          <w:rFonts w:ascii="Courier New" w:hAnsi="Courier New" w:cs="Courier New"/>
          <w:sz w:val="20"/>
          <w:szCs w:val="20"/>
        </w:rPr>
        <w:t>2*afunction(x)</w:t>
      </w:r>
      <w:r>
        <w:rPr>
          <w:rFonts w:cs="Courier New"/>
        </w:rPr>
        <w:t>.</w:t>
      </w:r>
    </w:p>
    <w:p w:rsidR="00A618BA" w:rsidRPr="00A618BA" w:rsidRDefault="00A618BA" w:rsidP="00261CD3">
      <w:pPr>
        <w:spacing w:after="80"/>
        <w:rPr>
          <w:rFonts w:ascii="Courier New" w:hAnsi="Courier New" w:cs="Courier New"/>
          <w:sz w:val="20"/>
          <w:szCs w:val="20"/>
        </w:rPr>
      </w:pPr>
      <w:r w:rsidRPr="00A618BA">
        <w:rPr>
          <w:rFonts w:ascii="Courier New" w:hAnsi="Courier New" w:cs="Courier New"/>
          <w:sz w:val="20"/>
          <w:szCs w:val="20"/>
        </w:rPr>
        <w:t>...................................</w:t>
      </w:r>
    </w:p>
    <w:p w:rsidR="006763DC" w:rsidRPr="006763DC" w:rsidRDefault="006763DC" w:rsidP="00261CD3">
      <w:pPr>
        <w:spacing w:after="8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d</w:t>
      </w:r>
      <w:r w:rsidRPr="006763DC">
        <w:rPr>
          <w:rFonts w:ascii="Courier New" w:hAnsi="Courier New" w:cs="Courier New"/>
          <w:sz w:val="20"/>
          <w:szCs w:val="20"/>
        </w:rPr>
        <w:t>ef</w:t>
      </w:r>
      <w:proofErr w:type="gramEnd"/>
      <w:r w:rsidRPr="006763DC">
        <w:rPr>
          <w:rFonts w:ascii="Courier New" w:hAnsi="Courier New" w:cs="Courier New"/>
          <w:sz w:val="20"/>
          <w:szCs w:val="20"/>
        </w:rPr>
        <w:t xml:space="preserve"> double (afunction, x):</w:t>
      </w:r>
    </w:p>
    <w:p w:rsidR="006763DC" w:rsidRDefault="006763DC" w:rsidP="00261CD3">
      <w:pPr>
        <w:spacing w:after="80"/>
        <w:rPr>
          <w:rFonts w:ascii="Courier New" w:hAnsi="Courier New" w:cs="Courier New"/>
          <w:sz w:val="20"/>
          <w:szCs w:val="20"/>
        </w:rPr>
      </w:pPr>
      <w:r w:rsidRPr="006763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return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2*afunction(x)</w:t>
      </w:r>
    </w:p>
    <w:p w:rsidR="00A618BA" w:rsidRDefault="00A618BA" w:rsidP="00261CD3">
      <w:pPr>
        <w:spacing w:after="8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....................................</w:t>
      </w:r>
    </w:p>
    <w:p w:rsidR="006763DC" w:rsidRDefault="006763DC" w:rsidP="00261CD3">
      <w:pPr>
        <w:spacing w:after="8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def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cube (x):</w:t>
      </w:r>
    </w:p>
    <w:p w:rsidR="006763DC" w:rsidRDefault="006763DC" w:rsidP="00261CD3">
      <w:pPr>
        <w:spacing w:after="8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return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x*x*x</w:t>
      </w:r>
    </w:p>
    <w:p w:rsidR="006763DC" w:rsidRPr="006763DC" w:rsidRDefault="006763DC" w:rsidP="00261CD3">
      <w:pPr>
        <w:spacing w:after="80"/>
        <w:rPr>
          <w:rFonts w:cs="Courier New"/>
        </w:rPr>
      </w:pPr>
      <w:r w:rsidRPr="006763DC">
        <w:rPr>
          <w:rFonts w:cs="Courier New"/>
        </w:rPr>
        <w:t>Now we can use</w:t>
      </w:r>
      <w:r w:rsidRPr="00863A24">
        <w:rPr>
          <w:rFonts w:cs="Courier New"/>
        </w:rPr>
        <w:t xml:space="preserve"> </w:t>
      </w:r>
      <w:r w:rsidRPr="00A618BA">
        <w:rPr>
          <w:rFonts w:ascii="Courier New" w:hAnsi="Courier New" w:cs="Courier New"/>
          <w:sz w:val="20"/>
          <w:szCs w:val="20"/>
        </w:rPr>
        <w:t>double</w:t>
      </w:r>
      <w:r w:rsidRPr="006763DC">
        <w:rPr>
          <w:rFonts w:cs="Courier New"/>
        </w:rPr>
        <w:t xml:space="preserve">, </w:t>
      </w:r>
      <w:r w:rsidRPr="00A618BA">
        <w:rPr>
          <w:rFonts w:ascii="Courier New" w:hAnsi="Courier New" w:cs="Courier New"/>
          <w:sz w:val="20"/>
          <w:szCs w:val="20"/>
        </w:rPr>
        <w:t>square</w:t>
      </w:r>
      <w:r w:rsidRPr="006763DC">
        <w:rPr>
          <w:rFonts w:cs="Courier New"/>
        </w:rPr>
        <w:t xml:space="preserve"> and </w:t>
      </w:r>
      <w:r w:rsidRPr="00A618BA">
        <w:rPr>
          <w:rFonts w:ascii="Courier New" w:hAnsi="Courier New" w:cs="Courier New"/>
          <w:sz w:val="20"/>
          <w:szCs w:val="20"/>
        </w:rPr>
        <w:t>cube</w:t>
      </w:r>
      <w:r w:rsidRPr="006763DC">
        <w:rPr>
          <w:rFonts w:cs="Courier New"/>
        </w:rPr>
        <w:t xml:space="preserve"> as follows</w:t>
      </w:r>
    </w:p>
    <w:p w:rsidR="006763DC" w:rsidRDefault="006763DC" w:rsidP="00261CD3">
      <w:pPr>
        <w:spacing w:after="8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double(</w:t>
      </w:r>
      <w:proofErr w:type="gramEnd"/>
      <w:r>
        <w:rPr>
          <w:rFonts w:ascii="Courier New" w:hAnsi="Courier New" w:cs="Courier New"/>
          <w:sz w:val="20"/>
          <w:szCs w:val="20"/>
        </w:rPr>
        <w:t>square, 4)</w:t>
      </w:r>
    </w:p>
    <w:p w:rsidR="006763DC" w:rsidRDefault="006763DC" w:rsidP="00261CD3">
      <w:pPr>
        <w:spacing w:after="80"/>
        <w:rPr>
          <w:rFonts w:cs="Courier New"/>
        </w:rPr>
      </w:pPr>
      <w:r w:rsidRPr="006763DC">
        <w:rPr>
          <w:rFonts w:cs="Courier New"/>
        </w:rPr>
        <w:t>The function call</w:t>
      </w:r>
      <w:r w:rsidRPr="00863A24">
        <w:rPr>
          <w:rFonts w:cs="Courier New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double(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square, 4) </w:t>
      </w:r>
      <w:r>
        <w:rPr>
          <w:rFonts w:cs="Courier New"/>
        </w:rPr>
        <w:t>returns 32.</w:t>
      </w:r>
    </w:p>
    <w:p w:rsidR="006763DC" w:rsidRPr="006763DC" w:rsidRDefault="006763DC" w:rsidP="00261CD3">
      <w:pPr>
        <w:spacing w:after="8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double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(cube, 4) </w:t>
      </w:r>
    </w:p>
    <w:p w:rsidR="007F33AC" w:rsidRDefault="006763DC" w:rsidP="00261CD3">
      <w:pPr>
        <w:spacing w:after="80"/>
        <w:rPr>
          <w:rFonts w:cs="Courier New"/>
        </w:rPr>
      </w:pPr>
      <w:r w:rsidRPr="006763DC">
        <w:rPr>
          <w:rFonts w:cs="Courier New"/>
        </w:rPr>
        <w:t>The function call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double(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cube, 4) </w:t>
      </w:r>
      <w:r>
        <w:rPr>
          <w:rFonts w:cs="Courier New"/>
        </w:rPr>
        <w:t>returns 128.</w:t>
      </w:r>
    </w:p>
    <w:p w:rsidR="00FF320E" w:rsidRDefault="00FF320E" w:rsidP="00261CD3">
      <w:pPr>
        <w:spacing w:after="80"/>
        <w:rPr>
          <w:rFonts w:cs="Courier New"/>
        </w:rPr>
      </w:pPr>
    </w:p>
    <w:p w:rsidR="00FF320E" w:rsidRDefault="00FF320E" w:rsidP="00261CD3">
      <w:pPr>
        <w:spacing w:after="80"/>
        <w:rPr>
          <w:rFonts w:cs="Courier New"/>
        </w:rPr>
      </w:pPr>
      <w:r>
        <w:rPr>
          <w:rFonts w:cs="Courier New"/>
        </w:rPr>
        <w:t>Page 590 foldl</w:t>
      </w:r>
      <w:bookmarkStart w:id="0" w:name="_GoBack"/>
      <w:bookmarkEnd w:id="0"/>
    </w:p>
    <w:p w:rsidR="00FF320E" w:rsidRDefault="00FF320E" w:rsidP="00FF320E">
      <w:pPr>
        <w:pStyle w:val="Pa26"/>
        <w:spacing w:after="80"/>
        <w:ind w:left="80"/>
        <w:rPr>
          <w:rFonts w:cs="Adobe Garamond Pro"/>
          <w:color w:val="000000"/>
          <w:sz w:val="23"/>
          <w:szCs w:val="23"/>
        </w:rPr>
      </w:pPr>
      <w:r>
        <w:rPr>
          <w:rFonts w:cs="Adobe Garamond Pro"/>
          <w:color w:val="000000"/>
          <w:sz w:val="23"/>
          <w:szCs w:val="23"/>
        </w:rPr>
        <w:t xml:space="preserve">With </w:t>
      </w:r>
      <w:r>
        <w:rPr>
          <w:rStyle w:val="A2"/>
        </w:rPr>
        <w:t>foldl (^) 2 [1</w:t>
      </w:r>
      <w:proofErr w:type="gramStart"/>
      <w:r>
        <w:rPr>
          <w:rStyle w:val="A2"/>
        </w:rPr>
        <w:t>,2,3</w:t>
      </w:r>
      <w:proofErr w:type="gramEnd"/>
      <w:r>
        <w:rPr>
          <w:rStyle w:val="A2"/>
        </w:rPr>
        <w:t xml:space="preserve">] </w:t>
      </w:r>
      <w:r>
        <w:rPr>
          <w:rFonts w:cs="Adobe Garamond Pro"/>
          <w:color w:val="000000"/>
          <w:sz w:val="23"/>
          <w:szCs w:val="23"/>
        </w:rPr>
        <w:t xml:space="preserve">in WinGHCi, the accumulator is </w:t>
      </w:r>
      <w:r>
        <w:rPr>
          <w:rStyle w:val="A2"/>
        </w:rPr>
        <w:t>2</w:t>
      </w:r>
      <w:r>
        <w:rPr>
          <w:rStyle w:val="A2"/>
          <w:rFonts w:ascii="Arial" w:hAnsi="Arial" w:cs="Arial"/>
        </w:rPr>
        <w:t>. T</w:t>
      </w:r>
      <w:r>
        <w:rPr>
          <w:rFonts w:cs="Adobe Garamond Pro"/>
          <w:color w:val="000000"/>
          <w:sz w:val="23"/>
          <w:szCs w:val="23"/>
        </w:rPr>
        <w:t xml:space="preserve">he list is folded from the left as follows </w:t>
      </w:r>
    </w:p>
    <w:p w:rsidR="00FF320E" w:rsidRDefault="00FF320E" w:rsidP="00FF320E">
      <w:pPr>
        <w:pStyle w:val="Default"/>
        <w:spacing w:after="80" w:line="231" w:lineRule="atLeast"/>
        <w:ind w:left="1700"/>
        <w:rPr>
          <w:rFonts w:ascii="Courier New" w:hAnsi="Courier New" w:cs="Courier New"/>
          <w:sz w:val="20"/>
          <w:szCs w:val="20"/>
        </w:rPr>
      </w:pPr>
      <w:proofErr w:type="gramStart"/>
      <w:r>
        <w:rPr>
          <w:rStyle w:val="A2"/>
        </w:rPr>
        <w:t>accumulator</w:t>
      </w:r>
      <w:proofErr w:type="gramEnd"/>
      <w:r>
        <w:rPr>
          <w:rStyle w:val="A2"/>
        </w:rPr>
        <w:t xml:space="preserve"> ^ list value </w:t>
      </w:r>
    </w:p>
    <w:p w:rsidR="00FF320E" w:rsidRDefault="00FF320E" w:rsidP="00FF320E">
      <w:pPr>
        <w:pStyle w:val="Pa30"/>
        <w:spacing w:after="80"/>
        <w:ind w:left="306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A2"/>
        </w:rPr>
        <w:t xml:space="preserve">2^1 </w:t>
      </w:r>
      <w:r>
        <w:rPr>
          <w:rStyle w:val="A8"/>
        </w:rPr>
        <w:t xml:space="preserve">= </w:t>
      </w:r>
      <w:r>
        <w:rPr>
          <w:rStyle w:val="A2"/>
        </w:rPr>
        <w:t xml:space="preserve">2 </w:t>
      </w:r>
    </w:p>
    <w:p w:rsidR="00FF320E" w:rsidRDefault="00FF320E" w:rsidP="00FF320E">
      <w:pPr>
        <w:pStyle w:val="Pa30"/>
        <w:spacing w:after="80"/>
        <w:ind w:left="306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A2"/>
        </w:rPr>
        <w:t xml:space="preserve">2^2 </w:t>
      </w:r>
      <w:r>
        <w:rPr>
          <w:rStyle w:val="A8"/>
        </w:rPr>
        <w:t xml:space="preserve">= </w:t>
      </w:r>
      <w:r>
        <w:rPr>
          <w:rStyle w:val="A2"/>
        </w:rPr>
        <w:t xml:space="preserve">4 </w:t>
      </w:r>
    </w:p>
    <w:p w:rsidR="00FF320E" w:rsidRDefault="00FF320E" w:rsidP="00FF320E">
      <w:pPr>
        <w:spacing w:after="80"/>
        <w:ind w:left="3060"/>
      </w:pPr>
      <w:r>
        <w:rPr>
          <w:rStyle w:val="A2"/>
        </w:rPr>
        <w:t xml:space="preserve">4^3 </w:t>
      </w:r>
      <w:r>
        <w:rPr>
          <w:rStyle w:val="A8"/>
        </w:rPr>
        <w:t xml:space="preserve">= </w:t>
      </w:r>
      <w:r>
        <w:rPr>
          <w:rStyle w:val="A2"/>
        </w:rPr>
        <w:t>64</w:t>
      </w:r>
    </w:p>
    <w:sectPr w:rsidR="00FF3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aramond Pro">
    <w:altName w:val="Adobe Garamond Pro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altName w:val="Cambria Math"/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16"/>
    <w:rsid w:val="001E3ACA"/>
    <w:rsid w:val="00261CD3"/>
    <w:rsid w:val="00635636"/>
    <w:rsid w:val="006636EE"/>
    <w:rsid w:val="006763DC"/>
    <w:rsid w:val="00732578"/>
    <w:rsid w:val="007F33AC"/>
    <w:rsid w:val="00862005"/>
    <w:rsid w:val="00863A24"/>
    <w:rsid w:val="009C3B16"/>
    <w:rsid w:val="00A618BA"/>
    <w:rsid w:val="00B4266F"/>
    <w:rsid w:val="00CB534D"/>
    <w:rsid w:val="00FA3902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A3C78-074D-4C0A-AE57-50DC57E2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Text">
    <w:name w:val="PageText"/>
    <w:basedOn w:val="Normal"/>
    <w:uiPriority w:val="99"/>
    <w:rsid w:val="006763DC"/>
    <w:pPr>
      <w:suppressAutoHyphens/>
      <w:autoSpaceDE w:val="0"/>
      <w:autoSpaceDN w:val="0"/>
      <w:adjustRightInd w:val="0"/>
      <w:spacing w:after="90" w:line="340" w:lineRule="atLeast"/>
      <w:textAlignment w:val="center"/>
    </w:pPr>
    <w:rPr>
      <w:rFonts w:ascii="Adobe Garamond Pro" w:hAnsi="Adobe Garamond Pro" w:cs="Adobe Garamond Pro"/>
      <w:color w:val="000000"/>
      <w:sz w:val="23"/>
      <w:szCs w:val="23"/>
    </w:rPr>
  </w:style>
  <w:style w:type="character" w:customStyle="1" w:styleId="CourierNew11pt">
    <w:name w:val="CourierNew11pt"/>
    <w:basedOn w:val="DefaultParagraphFont"/>
    <w:uiPriority w:val="99"/>
    <w:rsid w:val="006763DC"/>
    <w:rPr>
      <w:rFonts w:ascii="Courier New" w:hAnsi="Courier New" w:cs="Courier New"/>
      <w:color w:val="000000"/>
      <w:sz w:val="22"/>
      <w:szCs w:val="22"/>
    </w:rPr>
  </w:style>
  <w:style w:type="character" w:customStyle="1" w:styleId="PageTextBold">
    <w:name w:val="PageTextBold"/>
    <w:uiPriority w:val="99"/>
    <w:rsid w:val="00261CD3"/>
    <w:rPr>
      <w:rFonts w:ascii="Adobe Garamond Pro Bold" w:hAnsi="Adobe Garamond Pro Bold" w:cs="Adobe Garamond Pro Bold"/>
      <w:b/>
      <w:bCs/>
      <w:color w:val="000000"/>
      <w:sz w:val="23"/>
      <w:szCs w:val="23"/>
      <w:lang w:val="en-GB"/>
    </w:rPr>
  </w:style>
  <w:style w:type="table" w:styleId="TableGrid">
    <w:name w:val="Table Grid"/>
    <w:basedOn w:val="TableNormal"/>
    <w:uiPriority w:val="39"/>
    <w:rsid w:val="00CB53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SubHeading">
    <w:name w:val="SubSubHeading"/>
    <w:basedOn w:val="DefaultParagraphFont"/>
    <w:uiPriority w:val="1"/>
    <w:qFormat/>
    <w:rsid w:val="00CB534D"/>
    <w:rPr>
      <w:rFonts w:ascii="Gill Sans MT" w:hAnsi="Gill Sans MT"/>
      <w:color w:val="2E74B5" w:themeColor="accent1" w:themeShade="BF"/>
      <w:sz w:val="24"/>
    </w:rPr>
  </w:style>
  <w:style w:type="paragraph" w:customStyle="1" w:styleId="BodyText">
    <w:name w:val="BodyText"/>
    <w:link w:val="BodyTextChar"/>
    <w:qFormat/>
    <w:rsid w:val="00CB534D"/>
    <w:pPr>
      <w:spacing w:after="0" w:line="240" w:lineRule="auto"/>
    </w:pPr>
    <w:rPr>
      <w:rFonts w:ascii="Gill Sans MT" w:eastAsiaTheme="minorHAnsi" w:hAnsi="Gill Sans MT"/>
      <w:color w:val="000000" w:themeColor="text1"/>
      <w:sz w:val="23"/>
      <w:lang w:eastAsia="en-US"/>
    </w:rPr>
  </w:style>
  <w:style w:type="character" w:customStyle="1" w:styleId="BodyTextChar">
    <w:name w:val="BodyText Char"/>
    <w:basedOn w:val="DefaultParagraphFont"/>
    <w:link w:val="BodyText"/>
    <w:rsid w:val="00CB534D"/>
    <w:rPr>
      <w:rFonts w:ascii="Gill Sans MT" w:eastAsiaTheme="minorHAnsi" w:hAnsi="Gill Sans MT"/>
      <w:color w:val="000000" w:themeColor="text1"/>
      <w:sz w:val="23"/>
      <w:lang w:eastAsia="en-US"/>
    </w:rPr>
  </w:style>
  <w:style w:type="character" w:customStyle="1" w:styleId="Numbers">
    <w:name w:val="Numbers"/>
    <w:basedOn w:val="DefaultParagraphFont"/>
    <w:uiPriority w:val="1"/>
    <w:qFormat/>
    <w:rsid w:val="00CB534D"/>
    <w:rPr>
      <w:rFonts w:ascii="Arial" w:hAnsi="Arial"/>
      <w:sz w:val="20"/>
    </w:rPr>
  </w:style>
  <w:style w:type="character" w:customStyle="1" w:styleId="FigureNo">
    <w:name w:val="FigureNo"/>
    <w:basedOn w:val="DefaultParagraphFont"/>
    <w:uiPriority w:val="1"/>
    <w:qFormat/>
    <w:rsid w:val="00CB534D"/>
    <w:rPr>
      <w:rFonts w:ascii="Arial" w:hAnsi="Arial"/>
      <w:sz w:val="20"/>
    </w:rPr>
  </w:style>
  <w:style w:type="character" w:customStyle="1" w:styleId="Code">
    <w:name w:val="Code"/>
    <w:uiPriority w:val="1"/>
    <w:qFormat/>
    <w:rsid w:val="00CB534D"/>
    <w:rPr>
      <w:rFonts w:ascii="Courier New" w:hAnsi="Courier New"/>
      <w:sz w:val="22"/>
    </w:rPr>
  </w:style>
  <w:style w:type="paragraph" w:customStyle="1" w:styleId="Default">
    <w:name w:val="Default"/>
    <w:rsid w:val="00FF320E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FF320E"/>
    <w:pPr>
      <w:spacing w:line="23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FF320E"/>
    <w:rPr>
      <w:rFonts w:ascii="Courier New" w:hAnsi="Courier New" w:cs="Courier New"/>
      <w:color w:val="000000"/>
      <w:sz w:val="20"/>
      <w:szCs w:val="20"/>
    </w:rPr>
  </w:style>
  <w:style w:type="paragraph" w:customStyle="1" w:styleId="Pa30">
    <w:name w:val="Pa30"/>
    <w:basedOn w:val="Default"/>
    <w:next w:val="Default"/>
    <w:uiPriority w:val="99"/>
    <w:rsid w:val="00FF320E"/>
    <w:pPr>
      <w:spacing w:line="23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FF320E"/>
    <w:rPr>
      <w:rFonts w:ascii="Cambria Math" w:hAnsi="Cambria Math" w:cs="Cambria Math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7FB256-E00D-48AC-AFAF-D4B041CBAD74}"/>
</file>

<file path=customXml/itemProps2.xml><?xml version="1.0" encoding="utf-8"?>
<ds:datastoreItem xmlns:ds="http://schemas.openxmlformats.org/officeDocument/2006/customXml" ds:itemID="{BA3999C5-F493-4B01-87AD-CE0403DA254F}"/>
</file>

<file path=customXml/itemProps3.xml><?xml version="1.0" encoding="utf-8"?>
<ds:datastoreItem xmlns:ds="http://schemas.openxmlformats.org/officeDocument/2006/customXml" ds:itemID="{7EA0EC14-4F6E-4A44-8131-71010DBE81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Bond</dc:creator>
  <cp:keywords/>
  <dc:description/>
  <cp:lastModifiedBy>Kevin Bond</cp:lastModifiedBy>
  <cp:revision>9</cp:revision>
  <dcterms:created xsi:type="dcterms:W3CDTF">2016-09-28T08:29:00Z</dcterms:created>
  <dcterms:modified xsi:type="dcterms:W3CDTF">2019-02-27T09:03:00Z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