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33339B"/>
          <w:sz w:val="32"/>
          <w:szCs w:val="32"/>
        </w:rPr>
      </w:pPr>
      <w:r>
        <w:rPr>
          <w:rFonts w:ascii="ComicSansMS-Bold" w:hAnsi="ComicSansMS-Bold" w:cs="ComicSansMS-Bold"/>
          <w:b/>
          <w:bCs/>
          <w:color w:val="33339B"/>
          <w:sz w:val="32"/>
          <w:szCs w:val="32"/>
        </w:rPr>
        <w:t>Annual percentage rate (APR) and equivalent annual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33339B"/>
          <w:sz w:val="32"/>
          <w:szCs w:val="32"/>
        </w:rPr>
      </w:pPr>
      <w:proofErr w:type="gramStart"/>
      <w:r>
        <w:rPr>
          <w:rFonts w:ascii="ComicSansMS-Bold" w:hAnsi="ComicSansMS-Bold" w:cs="ComicSansMS-Bold"/>
          <w:b/>
          <w:bCs/>
          <w:color w:val="33339B"/>
          <w:sz w:val="32"/>
          <w:szCs w:val="32"/>
        </w:rPr>
        <w:t>rate</w:t>
      </w:r>
      <w:proofErr w:type="gramEnd"/>
      <w:r>
        <w:rPr>
          <w:rFonts w:ascii="ComicSansMS-Bold" w:hAnsi="ComicSansMS-Bold" w:cs="ComicSansMS-Bold"/>
          <w:b/>
          <w:bCs/>
          <w:color w:val="33339B"/>
          <w:sz w:val="32"/>
          <w:szCs w:val="32"/>
        </w:rPr>
        <w:t xml:space="preserve"> (EAR)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GillSansMT" w:hAnsi="GillSansMT" w:cs="GillSansMT"/>
          <w:color w:val="000000"/>
          <w:sz w:val="24"/>
          <w:szCs w:val="24"/>
        </w:rPr>
        <w:t>Banks do not expect you always to have your calculator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with you when you are trying to choose the best way of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borrowing and the best provider.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GillSansMT" w:hAnsi="GillSansMT" w:cs="GillSansMT"/>
          <w:color w:val="000000"/>
          <w:sz w:val="24"/>
          <w:szCs w:val="24"/>
        </w:rPr>
        <w:t>By law, all lenders have to tell you the annual percentage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rate (APR) or the equivalent annual rate (EAR) of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borrowing from them. This is the true cost of borrowing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that amount of money for that period of time. Knowing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the APR or the EAR helps you to compare different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lending products.</w:t>
      </w:r>
    </w:p>
    <w:p w:rsidR="00D4166F" w:rsidRP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color w:val="1F497D" w:themeColor="text2"/>
          <w:sz w:val="24"/>
          <w:szCs w:val="24"/>
        </w:rPr>
      </w:pPr>
    </w:p>
    <w:p w:rsidR="00D26FCE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 w:rsidRPr="00D4166F">
        <w:rPr>
          <w:rFonts w:ascii="GillSansMT" w:hAnsi="GillSansMT" w:cs="GillSansMT"/>
          <w:b/>
          <w:color w:val="1F497D" w:themeColor="text2"/>
          <w:sz w:val="24"/>
          <w:szCs w:val="24"/>
        </w:rPr>
        <w:t>The APR</w:t>
      </w:r>
      <w:r w:rsidRPr="00D4166F">
        <w:rPr>
          <w:rFonts w:ascii="GillSansMT" w:hAnsi="GillSansMT" w:cs="GillSansMT"/>
          <w:color w:val="1F497D" w:themeColor="text2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is worked out using a complicated formula that you do not need to know at this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stage, but which includes: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􀁺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proofErr w:type="gramStart"/>
      <w:r>
        <w:rPr>
          <w:rFonts w:ascii="GillSansMT" w:hAnsi="GillSansMT" w:cs="GillSansMT"/>
          <w:color w:val="000000"/>
          <w:sz w:val="24"/>
          <w:szCs w:val="24"/>
        </w:rPr>
        <w:t>the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interest rate;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􀁺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proofErr w:type="gramStart"/>
      <w:r>
        <w:rPr>
          <w:rFonts w:ascii="GillSansMT" w:hAnsi="GillSansMT" w:cs="GillSansMT"/>
          <w:color w:val="000000"/>
          <w:sz w:val="24"/>
          <w:szCs w:val="24"/>
        </w:rPr>
        <w:t>the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length of time for which you want the loan (known as the ‘term’); and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􀁺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proofErr w:type="gramStart"/>
      <w:r>
        <w:rPr>
          <w:rFonts w:ascii="GillSansMT" w:hAnsi="GillSansMT" w:cs="GillSansMT"/>
          <w:color w:val="000000"/>
          <w:sz w:val="24"/>
          <w:szCs w:val="24"/>
        </w:rPr>
        <w:t>any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fees.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9B"/>
          <w:sz w:val="32"/>
          <w:szCs w:val="32"/>
        </w:rPr>
      </w:pPr>
      <w:r>
        <w:rPr>
          <w:rFonts w:ascii="ComicSansMS" w:hAnsi="ComicSansMS" w:cs="ComicSansMS"/>
          <w:color w:val="33339B"/>
          <w:sz w:val="32"/>
          <w:szCs w:val="32"/>
        </w:rPr>
        <w:t>Fixed APR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GillSansMT" w:hAnsi="GillSansMT" w:cs="GillSansMT"/>
          <w:color w:val="000000"/>
          <w:sz w:val="24"/>
          <w:szCs w:val="24"/>
        </w:rPr>
        <w:t xml:space="preserve">The APR on a personal loan is ‘fixed’ – that </w:t>
      </w:r>
      <w:proofErr w:type="gramStart"/>
      <w:r>
        <w:rPr>
          <w:rFonts w:ascii="GillSansMT" w:hAnsi="GillSansMT" w:cs="GillSansMT"/>
          <w:color w:val="000000"/>
          <w:sz w:val="24"/>
          <w:szCs w:val="24"/>
        </w:rPr>
        <w:t>is,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it does not change over the life of the loan.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To work out your monthly payments, the bank or building society will show you a table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9B"/>
          <w:sz w:val="32"/>
          <w:szCs w:val="32"/>
        </w:rPr>
      </w:pPr>
      <w:r>
        <w:rPr>
          <w:rFonts w:ascii="ComicSansMS" w:hAnsi="ComicSansMS" w:cs="ComicSansMS"/>
          <w:color w:val="33339B"/>
          <w:sz w:val="32"/>
          <w:szCs w:val="32"/>
        </w:rPr>
        <w:t>Variable APR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GillSansMT" w:hAnsi="GillSansMT" w:cs="GillSansMT"/>
          <w:color w:val="000000"/>
          <w:sz w:val="24"/>
          <w:szCs w:val="24"/>
        </w:rPr>
        <w:t>If the interest rate on your borrowings can change, the APR is said to be ‘variable’.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GillSansMT" w:hAnsi="GillSansMT" w:cs="GillSansMT"/>
          <w:color w:val="000000"/>
          <w:sz w:val="24"/>
          <w:szCs w:val="24"/>
        </w:rPr>
        <w:t>Variable APR means that your interest payments can go up or down each month,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proofErr w:type="gramStart"/>
      <w:r>
        <w:rPr>
          <w:rFonts w:ascii="GillSansMT" w:hAnsi="GillSansMT" w:cs="GillSansMT"/>
          <w:color w:val="000000"/>
          <w:sz w:val="24"/>
          <w:szCs w:val="24"/>
        </w:rPr>
        <w:t>depending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upon what interest rate is being charged at the time.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GillSansMT" w:hAnsi="GillSansMT" w:cs="GillSansMT"/>
          <w:color w:val="000000"/>
          <w:sz w:val="24"/>
          <w:szCs w:val="24"/>
        </w:rPr>
        <w:t>The type of borrowing that has a variable APR includes loans other than personal loans,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credit cards and store cards. The reason why these have a variable interest rate is that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the loan or debt may be outstanding for years and the lender is not prepared to fix the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color w:val="000000"/>
          <w:sz w:val="24"/>
          <w:szCs w:val="24"/>
        </w:rPr>
        <w:t>interest rate when it does not know for how long the debt will be owed.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33339B"/>
          <w:sz w:val="32"/>
          <w:szCs w:val="32"/>
        </w:rPr>
      </w:pPr>
      <w:r>
        <w:rPr>
          <w:rFonts w:ascii="ComicSansMS" w:hAnsi="ComicSansMS" w:cs="ComicSansMS"/>
          <w:color w:val="33339B"/>
          <w:sz w:val="32"/>
          <w:szCs w:val="32"/>
        </w:rPr>
        <w:t>EAR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GillSansMT" w:hAnsi="GillSansMT" w:cs="GillSansMT"/>
          <w:color w:val="000000"/>
          <w:sz w:val="24"/>
          <w:szCs w:val="24"/>
        </w:rPr>
        <w:t>EAR is the legal way in which interest rates have to be quoted for overdrafts. The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proofErr w:type="gramStart"/>
      <w:r>
        <w:rPr>
          <w:rFonts w:ascii="GillSansMT" w:hAnsi="GillSansMT" w:cs="GillSansMT"/>
          <w:color w:val="000000"/>
          <w:sz w:val="24"/>
          <w:szCs w:val="24"/>
        </w:rPr>
        <w:t>calculation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includes: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􀁺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proofErr w:type="gramStart"/>
      <w:r>
        <w:rPr>
          <w:rFonts w:ascii="GillSansMT" w:hAnsi="GillSansMT" w:cs="GillSansMT"/>
          <w:color w:val="000000"/>
          <w:sz w:val="24"/>
          <w:szCs w:val="24"/>
        </w:rPr>
        <w:t>the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lender’s interest rate;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􀁺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proofErr w:type="gramStart"/>
      <w:r>
        <w:rPr>
          <w:rFonts w:ascii="GillSansMT" w:hAnsi="GillSansMT" w:cs="GillSansMT"/>
          <w:color w:val="000000"/>
          <w:sz w:val="24"/>
          <w:szCs w:val="24"/>
        </w:rPr>
        <w:t>the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way in which interest is calculated; and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􀁺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proofErr w:type="gramStart"/>
      <w:r>
        <w:rPr>
          <w:rFonts w:ascii="GillSansMT" w:hAnsi="GillSansMT" w:cs="GillSansMT"/>
          <w:color w:val="000000"/>
          <w:sz w:val="24"/>
          <w:szCs w:val="24"/>
        </w:rPr>
        <w:t>any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fees.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r>
        <w:rPr>
          <w:rFonts w:ascii="GillSansMT" w:hAnsi="GillSansMT" w:cs="GillSansMT"/>
          <w:color w:val="000000"/>
          <w:sz w:val="24"/>
          <w:szCs w:val="24"/>
        </w:rPr>
        <w:t>The reason why the calculation is different for an overdraft from that for any other type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GillSansMT" w:hAnsi="GillSansMT" w:cs="GillSansMT"/>
          <w:color w:val="000000"/>
          <w:sz w:val="24"/>
          <w:szCs w:val="24"/>
        </w:rPr>
        <w:t>of borrowing is that an overdraft is attached to a current account, which might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  <w:proofErr w:type="gramStart"/>
      <w:r>
        <w:rPr>
          <w:rFonts w:ascii="GillSansMT" w:hAnsi="GillSansMT" w:cs="GillSansMT"/>
          <w:color w:val="000000"/>
          <w:sz w:val="24"/>
          <w:szCs w:val="24"/>
        </w:rPr>
        <w:t>sometimes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be in credit. In other words, the account holder might not always be using</w:t>
      </w:r>
    </w:p>
    <w:p w:rsidR="00D4166F" w:rsidRDefault="00D4166F" w:rsidP="00D4166F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4"/>
          <w:szCs w:val="24"/>
        </w:rPr>
      </w:pPr>
      <w:proofErr w:type="gramStart"/>
      <w:r>
        <w:rPr>
          <w:rFonts w:ascii="GillSansMT" w:hAnsi="GillSansMT" w:cs="GillSansMT"/>
          <w:color w:val="000000"/>
          <w:sz w:val="24"/>
          <w:szCs w:val="24"/>
        </w:rPr>
        <w:t>their</w:t>
      </w:r>
      <w:proofErr w:type="gramEnd"/>
      <w:r>
        <w:rPr>
          <w:rFonts w:ascii="GillSansMT" w:hAnsi="GillSansMT" w:cs="GillSansMT"/>
          <w:color w:val="000000"/>
          <w:sz w:val="24"/>
          <w:szCs w:val="24"/>
        </w:rPr>
        <w:t xml:space="preserve"> overdraft. A lender has to show the EAR for an overdraft so that the customer</w:t>
      </w:r>
      <w:r>
        <w:rPr>
          <w:rFonts w:ascii="GillSansMT" w:hAnsi="GillSansMT" w:cs="GillSansMT"/>
          <w:color w:val="000000"/>
          <w:sz w:val="24"/>
          <w:szCs w:val="24"/>
        </w:rPr>
        <w:t xml:space="preserve"> </w:t>
      </w:r>
      <w:r>
        <w:rPr>
          <w:rFonts w:ascii="GillSansMT" w:hAnsi="GillSansMT" w:cs="GillSansMT"/>
          <w:sz w:val="24"/>
          <w:szCs w:val="24"/>
        </w:rPr>
        <w:t>knows what the charge for the borrowing will be if they use their overdraft all of the</w:t>
      </w:r>
    </w:p>
    <w:p w:rsidR="00D4166F" w:rsidRDefault="00D4166F" w:rsidP="00D4166F">
      <w:proofErr w:type="gramStart"/>
      <w:r>
        <w:rPr>
          <w:rFonts w:ascii="GillSansMT" w:hAnsi="GillSansMT" w:cs="GillSansMT"/>
          <w:sz w:val="24"/>
          <w:szCs w:val="24"/>
        </w:rPr>
        <w:t>time</w:t>
      </w:r>
      <w:proofErr w:type="gramEnd"/>
      <w:r>
        <w:rPr>
          <w:rFonts w:ascii="GillSansMT" w:hAnsi="GillSansMT" w:cs="GillSansMT"/>
          <w:sz w:val="24"/>
          <w:szCs w:val="24"/>
        </w:rPr>
        <w:t>.</w:t>
      </w:r>
    </w:p>
    <w:sectPr w:rsidR="00D41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F"/>
    <w:rsid w:val="00D26FCE"/>
    <w:rsid w:val="00D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B49FED91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Beauclair</dc:creator>
  <cp:lastModifiedBy>Mary Beauclair</cp:lastModifiedBy>
  <cp:revision>1</cp:revision>
  <dcterms:created xsi:type="dcterms:W3CDTF">2013-02-26T12:06:00Z</dcterms:created>
  <dcterms:modified xsi:type="dcterms:W3CDTF">2013-02-26T12:10:00Z</dcterms:modified>
</cp:coreProperties>
</file>