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9B" w:rsidRDefault="007C729B" w:rsidP="007C729B">
      <w:pPr>
        <w:pStyle w:val="HBHeading"/>
        <w:rPr>
          <w:lang w:val="en-US"/>
        </w:rPr>
      </w:pPr>
    </w:p>
    <w:p w:rsidR="007C729B" w:rsidRDefault="007C729B" w:rsidP="007C729B">
      <w:pPr>
        <w:pStyle w:val="HBHeading"/>
        <w:rPr>
          <w:lang w:val="en-US"/>
        </w:rPr>
      </w:pPr>
    </w:p>
    <w:p w:rsidR="007C729B" w:rsidRDefault="002F22A8" w:rsidP="007C729B">
      <w:pPr>
        <w:pStyle w:val="HBHeading"/>
        <w:rPr>
          <w:lang w:val="en-US"/>
        </w:rPr>
      </w:pPr>
      <w:r>
        <w:rPr>
          <w:noProof/>
          <w:lang w:val="en-GB" w:eastAsia="en-GB"/>
        </w:rPr>
        <w:drawing>
          <wp:inline distT="0" distB="0" distL="0" distR="0" wp14:anchorId="13C29FC8">
            <wp:extent cx="2063170" cy="901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9978" cy="909130"/>
                    </a:xfrm>
                    <a:prstGeom prst="rect">
                      <a:avLst/>
                    </a:prstGeom>
                    <a:noFill/>
                  </pic:spPr>
                </pic:pic>
              </a:graphicData>
            </a:graphic>
          </wp:inline>
        </w:drawing>
      </w:r>
    </w:p>
    <w:p w:rsidR="007C729B" w:rsidRDefault="007C729B" w:rsidP="007C729B">
      <w:pPr>
        <w:pStyle w:val="HBHeading"/>
        <w:rPr>
          <w:lang w:val="en-US"/>
        </w:rPr>
      </w:pPr>
    </w:p>
    <w:p w:rsidR="007C729B" w:rsidRDefault="007C729B" w:rsidP="007C729B">
      <w:pPr>
        <w:pStyle w:val="HBHeading"/>
        <w:rPr>
          <w:lang w:val="en-US"/>
        </w:rPr>
      </w:pPr>
      <w:proofErr w:type="spellStart"/>
      <w:r>
        <w:rPr>
          <w:lang w:val="en-US"/>
        </w:rPr>
        <w:t>Activité</w:t>
      </w:r>
      <w:proofErr w:type="spellEnd"/>
      <w:r>
        <w:rPr>
          <w:lang w:val="en-US"/>
        </w:rPr>
        <w:t xml:space="preserve"> </w:t>
      </w:r>
      <w:proofErr w:type="gramStart"/>
      <w:r>
        <w:rPr>
          <w:lang w:val="en-US"/>
        </w:rPr>
        <w:t>3a</w:t>
      </w:r>
      <w:r>
        <w:rPr>
          <w:lang w:val="en-US"/>
        </w:rPr>
        <w:t xml:space="preserve">  p</w:t>
      </w:r>
      <w:proofErr w:type="gramEnd"/>
      <w:r>
        <w:rPr>
          <w:lang w:val="en-US"/>
        </w:rPr>
        <w:t xml:space="preserve">. 19 </w:t>
      </w:r>
      <w:proofErr w:type="spellStart"/>
      <w:r>
        <w:rPr>
          <w:lang w:val="en-US"/>
        </w:rPr>
        <w:t>Kerboodle</w:t>
      </w:r>
      <w:bookmarkStart w:id="0" w:name="_GoBack"/>
      <w:bookmarkEnd w:id="0"/>
      <w:proofErr w:type="spellEnd"/>
    </w:p>
    <w:p w:rsidR="007C729B" w:rsidRDefault="007C729B" w:rsidP="007C729B">
      <w:pPr>
        <w:pStyle w:val="numberedlist"/>
        <w:numPr>
          <w:ilvl w:val="0"/>
          <w:numId w:val="2"/>
        </w:numPr>
        <w:tabs>
          <w:tab w:val="left" w:pos="720"/>
        </w:tabs>
        <w:spacing w:line="254" w:lineRule="auto"/>
        <w:rPr>
          <w:lang w:val="fr-FR"/>
        </w:rPr>
      </w:pPr>
      <w:r>
        <w:rPr>
          <w:lang w:val="fr-FR"/>
        </w:rPr>
        <w:t xml:space="preserve">La discussion sur la diversité met souvent l’accent sur le sexe et la race. En revanche, il y a très peu d’attention accordée aux personnes handicapées qui représentent la plus grande minorité en France et même dans le monde. Ajoutons aussi que c’est le seul groupe minoritaire auquel toute personne pourrait appartenir avec 20% de chances de devenir invalide à un certain moment au cours de la vie active. </w:t>
      </w:r>
    </w:p>
    <w:p w:rsidR="007C729B" w:rsidRDefault="007C729B" w:rsidP="007C729B">
      <w:pPr>
        <w:pStyle w:val="numberedlist"/>
        <w:numPr>
          <w:ilvl w:val="0"/>
          <w:numId w:val="0"/>
        </w:numPr>
        <w:tabs>
          <w:tab w:val="left" w:pos="720"/>
        </w:tabs>
        <w:spacing w:line="254" w:lineRule="auto"/>
        <w:ind w:left="720"/>
        <w:rPr>
          <w:lang w:val="fr-FR"/>
        </w:rPr>
      </w:pPr>
    </w:p>
    <w:p w:rsidR="007C729B" w:rsidRDefault="007C729B" w:rsidP="007C729B">
      <w:pPr>
        <w:pStyle w:val="numberedlist"/>
        <w:numPr>
          <w:ilvl w:val="0"/>
          <w:numId w:val="0"/>
        </w:numPr>
        <w:tabs>
          <w:tab w:val="left" w:pos="720"/>
        </w:tabs>
        <w:spacing w:line="254" w:lineRule="auto"/>
        <w:ind w:left="720"/>
        <w:rPr>
          <w:lang w:val="fr-FR"/>
        </w:rPr>
      </w:pPr>
      <w:r>
        <w:rPr>
          <w:lang w:val="fr-FR"/>
        </w:rPr>
        <w:t>L’Hexagone compte 5 millions de personnes en situation de handicap. 42% de la population française déclarent être affectés d’au moins une déficience, 21% disent avoir au moins une incapacité et 9% doivent recourir à une aide personnelle régulière pour accomplir des actes de la vie quotidienne et participer à la vie sociale et culturelle.</w:t>
      </w:r>
    </w:p>
    <w:p w:rsidR="007C729B" w:rsidRDefault="007C729B" w:rsidP="007C729B">
      <w:pPr>
        <w:pStyle w:val="numberedlist"/>
        <w:numPr>
          <w:ilvl w:val="0"/>
          <w:numId w:val="0"/>
        </w:numPr>
        <w:tabs>
          <w:tab w:val="left" w:pos="720"/>
        </w:tabs>
        <w:spacing w:line="254" w:lineRule="auto"/>
        <w:ind w:left="720"/>
        <w:rPr>
          <w:lang w:val="fr-FR"/>
        </w:rPr>
      </w:pPr>
    </w:p>
    <w:p w:rsidR="007C729B" w:rsidRDefault="007C729B" w:rsidP="007C729B">
      <w:pPr>
        <w:pStyle w:val="numberedlist"/>
        <w:numPr>
          <w:ilvl w:val="0"/>
          <w:numId w:val="0"/>
        </w:numPr>
        <w:tabs>
          <w:tab w:val="left" w:pos="720"/>
        </w:tabs>
        <w:spacing w:line="254" w:lineRule="auto"/>
        <w:ind w:left="720"/>
        <w:rPr>
          <w:lang w:val="fr-FR"/>
        </w:rPr>
      </w:pPr>
    </w:p>
    <w:p w:rsidR="007C729B" w:rsidRDefault="007C729B" w:rsidP="007C729B">
      <w:pPr>
        <w:pStyle w:val="numberedlist"/>
        <w:numPr>
          <w:ilvl w:val="0"/>
          <w:numId w:val="0"/>
        </w:numPr>
        <w:tabs>
          <w:tab w:val="left" w:pos="720"/>
        </w:tabs>
        <w:spacing w:line="254" w:lineRule="auto"/>
        <w:ind w:left="1069" w:hanging="360"/>
        <w:rPr>
          <w:lang w:val="fr-FR"/>
        </w:rPr>
      </w:pPr>
    </w:p>
    <w:p w:rsidR="007C729B" w:rsidRDefault="007C729B" w:rsidP="007C729B">
      <w:pPr>
        <w:pStyle w:val="HBHeading"/>
        <w:rPr>
          <w:lang w:val="en-US"/>
        </w:rPr>
      </w:pPr>
      <w:proofErr w:type="spellStart"/>
      <w:r>
        <w:rPr>
          <w:lang w:val="en-US"/>
        </w:rPr>
        <w:t>Activité</w:t>
      </w:r>
      <w:proofErr w:type="spellEnd"/>
      <w:r>
        <w:rPr>
          <w:lang w:val="en-US"/>
        </w:rPr>
        <w:t xml:space="preserve"> 3b</w:t>
      </w:r>
    </w:p>
    <w:p w:rsidR="007C729B" w:rsidRPr="00EC1EF0" w:rsidRDefault="007C729B" w:rsidP="007C729B">
      <w:pPr>
        <w:pStyle w:val="numberedlist"/>
        <w:numPr>
          <w:ilvl w:val="0"/>
          <w:numId w:val="4"/>
        </w:numPr>
        <w:tabs>
          <w:tab w:val="left" w:pos="720"/>
        </w:tabs>
        <w:rPr>
          <w:lang w:val="fr-FR"/>
        </w:rPr>
      </w:pPr>
      <w:r w:rsidRPr="00EC1EF0">
        <w:rPr>
          <w:lang w:val="fr-FR"/>
        </w:rPr>
        <w:t>Malgré la loi du 11 février 2005 visant à favoriser l’intégration des personnes handicapées, le chemin à parcourir est encore long pour qu’elles puissent choisir, décider et prendre toute leur place dans la société. N’oublions pas que les personnes handicapées appartiennent à tous les groupes raciaux, sexuels, socio-éducatifs, socio-économiques, et à toutes les lignes organisationnelles.</w:t>
      </w:r>
    </w:p>
    <w:p w:rsidR="007C729B" w:rsidRPr="00EC1EF0" w:rsidRDefault="007C729B" w:rsidP="007C729B">
      <w:pPr>
        <w:pStyle w:val="numberedlist"/>
        <w:numPr>
          <w:ilvl w:val="0"/>
          <w:numId w:val="0"/>
        </w:numPr>
        <w:tabs>
          <w:tab w:val="left" w:pos="720"/>
        </w:tabs>
        <w:ind w:left="720"/>
        <w:rPr>
          <w:lang w:val="fr-FR"/>
        </w:rPr>
      </w:pPr>
    </w:p>
    <w:p w:rsidR="007C729B" w:rsidRPr="00EC1EF0" w:rsidRDefault="007C729B" w:rsidP="007C729B">
      <w:pPr>
        <w:pStyle w:val="numberedlist"/>
        <w:numPr>
          <w:ilvl w:val="0"/>
          <w:numId w:val="0"/>
        </w:numPr>
        <w:tabs>
          <w:tab w:val="left" w:pos="720"/>
        </w:tabs>
        <w:ind w:left="720"/>
        <w:rPr>
          <w:lang w:val="fr-FR"/>
        </w:rPr>
      </w:pPr>
      <w:r w:rsidRPr="00EC1EF0">
        <w:rPr>
          <w:lang w:val="fr-FR"/>
        </w:rPr>
        <w:t xml:space="preserve">Accepter, connaître et reconnaître l’autre, hors des regards biaisés par les préjugés ou les représentations négatives, sont les étapes qui fondent le vrai « vivre-ensemble ». </w:t>
      </w:r>
    </w:p>
    <w:p w:rsidR="007C729B" w:rsidRPr="00EC1EF0" w:rsidRDefault="007C729B" w:rsidP="007C729B">
      <w:pPr>
        <w:pStyle w:val="numberedlist"/>
        <w:numPr>
          <w:ilvl w:val="0"/>
          <w:numId w:val="0"/>
        </w:numPr>
        <w:tabs>
          <w:tab w:val="left" w:pos="720"/>
        </w:tabs>
        <w:ind w:left="720"/>
        <w:rPr>
          <w:lang w:val="fr-FR"/>
        </w:rPr>
      </w:pPr>
    </w:p>
    <w:p w:rsidR="007C729B" w:rsidRPr="00EC1EF0" w:rsidRDefault="007C729B" w:rsidP="007C729B">
      <w:pPr>
        <w:pStyle w:val="numberedlist"/>
        <w:numPr>
          <w:ilvl w:val="0"/>
          <w:numId w:val="0"/>
        </w:numPr>
        <w:tabs>
          <w:tab w:val="left" w:pos="720"/>
        </w:tabs>
        <w:ind w:left="720"/>
        <w:rPr>
          <w:lang w:val="fr-FR"/>
        </w:rPr>
      </w:pPr>
      <w:r w:rsidRPr="00EC1EF0">
        <w:rPr>
          <w:lang w:val="fr-FR"/>
        </w:rPr>
        <w:t>Le concept de diversité englobe l’acceptation et le respect. Il faut se rappeler que chaque individu est unique, en reconnaissant nos différences individuelles, en explorant ces différences dans un environnement sûr, positif et stimulant. Vivre vraiment ensemble veut dire comprendre l’autre et aller au-delà de la simple tolérance pour embrasser et célébrer les dimensions riches de la diversité contenue dans chaque individu.</w:t>
      </w:r>
    </w:p>
    <w:p w:rsidR="007C729B" w:rsidRPr="00EC1EF0" w:rsidRDefault="007C729B" w:rsidP="007C729B">
      <w:pPr>
        <w:pStyle w:val="numberedlist"/>
        <w:numPr>
          <w:ilvl w:val="0"/>
          <w:numId w:val="0"/>
        </w:numPr>
        <w:tabs>
          <w:tab w:val="left" w:pos="720"/>
        </w:tabs>
        <w:ind w:left="720"/>
        <w:rPr>
          <w:lang w:val="fr-FR"/>
        </w:rPr>
      </w:pPr>
    </w:p>
    <w:p w:rsidR="007C729B" w:rsidRPr="00EC1EF0" w:rsidRDefault="007C729B" w:rsidP="007C729B">
      <w:pPr>
        <w:pStyle w:val="numberedlist"/>
        <w:numPr>
          <w:ilvl w:val="0"/>
          <w:numId w:val="0"/>
        </w:numPr>
        <w:tabs>
          <w:tab w:val="left" w:pos="720"/>
        </w:tabs>
        <w:ind w:left="720"/>
        <w:rPr>
          <w:lang w:val="fr-FR"/>
        </w:rPr>
      </w:pPr>
    </w:p>
    <w:p w:rsidR="007C729B" w:rsidRPr="00EC1EF0" w:rsidRDefault="007C729B" w:rsidP="007C729B">
      <w:pPr>
        <w:pStyle w:val="numberedlist"/>
        <w:numPr>
          <w:ilvl w:val="0"/>
          <w:numId w:val="0"/>
        </w:numPr>
        <w:tabs>
          <w:tab w:val="left" w:pos="720"/>
        </w:tabs>
        <w:ind w:left="1069" w:hanging="360"/>
        <w:rPr>
          <w:lang w:val="fr-FR"/>
        </w:rPr>
      </w:pPr>
    </w:p>
    <w:p w:rsidR="005A16A4" w:rsidRPr="007C729B" w:rsidRDefault="002F22A8">
      <w:pPr>
        <w:rPr>
          <w:lang w:val="fr-FR"/>
        </w:rPr>
      </w:pPr>
    </w:p>
    <w:sectPr w:rsidR="005A16A4" w:rsidRPr="007C7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9B"/>
    <w:rsid w:val="002F22A8"/>
    <w:rsid w:val="007C729B"/>
    <w:rsid w:val="00B819A6"/>
    <w:rsid w:val="00F1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055191-495B-42C5-BF7B-9B6AC810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Heading">
    <w:name w:val="&lt;HB&gt; Heading"/>
    <w:basedOn w:val="Normal"/>
    <w:autoRedefine/>
    <w:qFormat/>
    <w:rsid w:val="007C729B"/>
    <w:pPr>
      <w:spacing w:after="200" w:line="276" w:lineRule="auto"/>
    </w:pPr>
    <w:rPr>
      <w:rFonts w:ascii="Arial" w:eastAsia="MS Mincho" w:hAnsi="Arial" w:cs="Arial"/>
      <w:b/>
      <w:color w:val="548DD4"/>
      <w:sz w:val="32"/>
      <w:szCs w:val="36"/>
      <w:lang w:val="fr-FR"/>
    </w:rPr>
  </w:style>
  <w:style w:type="paragraph" w:customStyle="1" w:styleId="numberedlist">
    <w:name w:val="numbered list"/>
    <w:basedOn w:val="Normal"/>
    <w:autoRedefine/>
    <w:qFormat/>
    <w:rsid w:val="007C729B"/>
    <w:pPr>
      <w:numPr>
        <w:numId w:val="1"/>
      </w:numPr>
      <w:spacing w:after="0" w:line="256" w:lineRule="auto"/>
      <w:contextualSpacing/>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7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2B3904FF</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Marteel</dc:creator>
  <cp:keywords/>
  <dc:description/>
  <cp:lastModifiedBy>Françoise Marteel</cp:lastModifiedBy>
  <cp:revision>2</cp:revision>
  <dcterms:created xsi:type="dcterms:W3CDTF">2017-10-04T07:09:00Z</dcterms:created>
  <dcterms:modified xsi:type="dcterms:W3CDTF">2017-10-04T07:11:00Z</dcterms:modified>
</cp:coreProperties>
</file>