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3330B" w14:textId="0BB126C7" w:rsidR="004B0AA9" w:rsidRDefault="004B0AA9">
      <w:r w:rsidRPr="00FD5186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7D71C87" wp14:editId="25E68479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6638925" cy="2886075"/>
            <wp:effectExtent l="0" t="0" r="9525" b="9525"/>
            <wp:wrapThrough wrapText="bothSides">
              <wp:wrapPolygon edited="0">
                <wp:start x="0" y="0"/>
                <wp:lineTo x="0" y="21529"/>
                <wp:lineTo x="21569" y="21529"/>
                <wp:lineTo x="215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9"/>
                    <a:stretch/>
                  </pic:blipFill>
                  <pic:spPr bwMode="auto">
                    <a:xfrm>
                      <a:off x="0" y="0"/>
                      <a:ext cx="6638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5186" w:rsidRPr="00FD5186">
        <w:rPr>
          <w:b/>
          <w:sz w:val="24"/>
        </w:rPr>
        <w:t>Devoirs</w:t>
      </w:r>
      <w:r w:rsidR="00FD5186" w:rsidRPr="00FD5186">
        <w:rPr>
          <w:b/>
        </w:rPr>
        <w:t xml:space="preserve"> pour la session de conversation</w:t>
      </w:r>
      <w:r w:rsidR="00FD5186">
        <w:t xml:space="preserve"> </w:t>
      </w:r>
    </w:p>
    <w:p w14:paraId="3871861D" w14:textId="77777777" w:rsidR="00FD5186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174146C9" w14:textId="77777777" w:rsidR="00FD5186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2B93330C" w14:textId="13A3033E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</w:t>
      </w:r>
      <w:r w:rsidRPr="004B0AA9">
        <w:rPr>
          <w:rFonts w:ascii="Arial" w:hAnsi="Arial" w:cs="Arial"/>
          <w:b/>
          <w:bCs/>
          <w:lang w:val="en-GB"/>
        </w:rPr>
        <w:t>upport</w:t>
      </w:r>
      <w:r w:rsidR="00FD5186">
        <w:rPr>
          <w:rFonts w:ascii="Arial" w:hAnsi="Arial" w:cs="Arial"/>
          <w:b/>
          <w:bCs/>
          <w:lang w:val="en-GB"/>
        </w:rPr>
        <w:t xml:space="preserve"> to read before answering the questions</w:t>
      </w:r>
    </w:p>
    <w:p w14:paraId="440F2248" w14:textId="77777777" w:rsidR="00FD5186" w:rsidRPr="004B0AA9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2B93330D" w14:textId="77777777" w:rsidR="004B0AA9" w:rsidRP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2B93330E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printed questions are a </w:t>
      </w:r>
      <w:r w:rsidRPr="004B0AA9">
        <w:rPr>
          <w:rFonts w:ascii="Arial" w:hAnsi="Arial" w:cs="Arial"/>
          <w:lang w:val="en-GB"/>
        </w:rPr>
        <w:t>starting-point for discussion: a student’s response will open up differ</w:t>
      </w:r>
      <w:r>
        <w:rPr>
          <w:rFonts w:ascii="Arial" w:hAnsi="Arial" w:cs="Arial"/>
          <w:lang w:val="en-GB"/>
        </w:rPr>
        <w:t xml:space="preserve">ent directions for the examiner </w:t>
      </w:r>
      <w:r w:rsidRPr="004B0AA9">
        <w:rPr>
          <w:rFonts w:ascii="Arial" w:hAnsi="Arial" w:cs="Arial"/>
          <w:lang w:val="en-GB"/>
        </w:rPr>
        <w:t>to pursue. Some students will have a wide range of facts and fig</w:t>
      </w:r>
      <w:r>
        <w:rPr>
          <w:rFonts w:ascii="Arial" w:hAnsi="Arial" w:cs="Arial"/>
          <w:lang w:val="en-GB"/>
        </w:rPr>
        <w:t xml:space="preserve">ures to quote but this is not a </w:t>
      </w:r>
      <w:r w:rsidRPr="004B0AA9">
        <w:rPr>
          <w:rFonts w:ascii="Arial" w:hAnsi="Arial" w:cs="Arial"/>
          <w:lang w:val="en-GB"/>
        </w:rPr>
        <w:t>prerequisite for demonstrat</w:t>
      </w:r>
      <w:r>
        <w:rPr>
          <w:rFonts w:ascii="Arial" w:hAnsi="Arial" w:cs="Arial"/>
          <w:lang w:val="en-GB"/>
        </w:rPr>
        <w:t xml:space="preserve">ing knowledge of the sub-theme. </w:t>
      </w:r>
      <w:r w:rsidRPr="004B0AA9">
        <w:rPr>
          <w:rFonts w:ascii="Arial" w:hAnsi="Arial" w:cs="Arial"/>
          <w:lang w:val="en-GB"/>
        </w:rPr>
        <w:t>Points related to specific questions:</w:t>
      </w:r>
    </w:p>
    <w:p w14:paraId="2B93330F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3F50895" w14:textId="77777777" w:rsidR="00FD5186" w:rsidRPr="004B0AA9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B933310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 w:rsidRPr="00FD5186">
        <w:rPr>
          <w:rFonts w:ascii="Arial" w:hAnsi="Arial" w:cs="Arial"/>
          <w:b/>
          <w:i/>
          <w:iCs/>
        </w:rPr>
        <w:t>Que dit-on ici sur la musique francophone ?</w:t>
      </w:r>
    </w:p>
    <w:p w14:paraId="2B933317" w14:textId="0E4F885D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4B0AA9">
        <w:rPr>
          <w:rFonts w:ascii="Arial" w:hAnsi="Arial" w:cs="Arial"/>
          <w:lang w:val="en-GB"/>
        </w:rPr>
        <w:t>Student responses will take the information in the text as a starting-point and then some of the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following points may be brought into the discussion by the examiner with reference to France or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another French-speaking country depending on how the student responds: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range and variety of francophone music and some knowledge perhaps of origins of different types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of francophone music; some knowledge of different genres mentioned on the card and some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examples or understanding of history of music; particular artistes or songs that the student has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heard; popularity (or not) of francophone music beyond French-speaking audiences.</w:t>
      </w:r>
    </w:p>
    <w:p w14:paraId="2B933318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61AD450" w14:textId="77777777" w:rsidR="00FD5186" w:rsidRPr="004B0AA9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B933319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 w:rsidRPr="00FD5186">
        <w:rPr>
          <w:rFonts w:ascii="Arial" w:hAnsi="Arial" w:cs="Arial"/>
          <w:b/>
          <w:i/>
          <w:iCs/>
        </w:rPr>
        <w:t>Quelle est votre réaction aux informations sur cette carte ?</w:t>
      </w:r>
    </w:p>
    <w:p w14:paraId="2B933321" w14:textId="746D7087" w:rsidR="004B0AA9" w:rsidRPr="00FD5186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4B0AA9">
        <w:rPr>
          <w:rFonts w:ascii="Arial" w:hAnsi="Arial" w:cs="Arial"/>
          <w:lang w:val="en-GB"/>
        </w:rPr>
        <w:t>A thoughtful and developed response to this type of question will include developed arguments and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justified points of view. It will link the information on the card to the knowledge gained through the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student’s study of the sub-theme and therefore this could prompt: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general confirmation that the information is borne out by this wider study; a personal reaction about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any or all of the statistical information and or the gender-divide; reference to some knowledge that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endorses/contradicts the information; reference to more recent evidence than that provided on the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card; reference to the trend outside of mainland France but in the context of the French-speaking</w:t>
      </w:r>
      <w:r w:rsidR="00FD5186">
        <w:rPr>
          <w:rFonts w:ascii="Arial" w:hAnsi="Arial" w:cs="Arial"/>
          <w:lang w:val="en-GB"/>
        </w:rPr>
        <w:t xml:space="preserve"> </w:t>
      </w:r>
      <w:r w:rsidRPr="00FD5186">
        <w:rPr>
          <w:rFonts w:ascii="Arial" w:hAnsi="Arial" w:cs="Arial"/>
          <w:lang w:val="en-GB"/>
        </w:rPr>
        <w:t>world.</w:t>
      </w:r>
    </w:p>
    <w:p w14:paraId="2B933322" w14:textId="77777777" w:rsidR="004B0AA9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D1888DB" w14:textId="77777777" w:rsidR="00FD5186" w:rsidRPr="00FD5186" w:rsidRDefault="00FD5186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bookmarkStart w:id="0" w:name="_GoBack"/>
      <w:bookmarkEnd w:id="0"/>
    </w:p>
    <w:p w14:paraId="2B933323" w14:textId="77777777" w:rsidR="004B0AA9" w:rsidRPr="00FD5186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 w:rsidRPr="00FD5186">
        <w:rPr>
          <w:rFonts w:ascii="Arial" w:hAnsi="Arial" w:cs="Arial"/>
          <w:b/>
          <w:i/>
          <w:iCs/>
        </w:rPr>
        <w:t>Selon vous, est-ce que ces statistiques reflètent les goûts de tous les âges, en France ou</w:t>
      </w:r>
    </w:p>
    <w:p w14:paraId="1C2F22A4" w14:textId="64D4DDE8" w:rsidR="00FD5186" w:rsidRPr="00FD5186" w:rsidRDefault="004B0AA9" w:rsidP="004B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FD5186">
        <w:rPr>
          <w:rFonts w:ascii="Arial" w:hAnsi="Arial" w:cs="Arial"/>
          <w:b/>
          <w:i/>
          <w:iCs/>
        </w:rPr>
        <w:t>ailleurs dans le monde francophone ?</w:t>
      </w:r>
    </w:p>
    <w:p w14:paraId="2B93332B" w14:textId="6BA903F6" w:rsidR="004B0AA9" w:rsidRPr="00FD5186" w:rsidRDefault="004B0AA9" w:rsidP="00FD5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4B0AA9">
        <w:rPr>
          <w:rFonts w:ascii="Arial" w:hAnsi="Arial" w:cs="Arial"/>
          <w:lang w:val="en-GB"/>
        </w:rPr>
        <w:t>This is an opportunity for the student to demonstrate knowledge beyond the specific focus of the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card but which is nonetheless relevant to the sub-theme. It should include justified points of view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and conclusions based on understanding. This could include: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reference to tastes and preferences of other sections of society and age-groups; popularity of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 xml:space="preserve">certain musical genres and how tastes have evolved; popularity of music other than </w:t>
      </w:r>
      <w:r w:rsidRPr="004B0AA9">
        <w:rPr>
          <w:rFonts w:ascii="Arial" w:hAnsi="Arial" w:cs="Arial"/>
          <w:i/>
          <w:iCs/>
          <w:lang w:val="en-GB"/>
        </w:rPr>
        <w:t>musique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i/>
          <w:iCs/>
          <w:lang w:val="en-GB"/>
        </w:rPr>
        <w:t xml:space="preserve">francophone </w:t>
      </w:r>
      <w:r w:rsidRPr="004B0AA9">
        <w:rPr>
          <w:rFonts w:ascii="Arial" w:hAnsi="Arial" w:cs="Arial"/>
          <w:lang w:val="en-GB"/>
        </w:rPr>
        <w:t>within a more globalised music-market and environment; some discussion perhaps of</w:t>
      </w:r>
      <w:r w:rsidR="00FD5186">
        <w:rPr>
          <w:rFonts w:ascii="Arial" w:hAnsi="Arial" w:cs="Arial"/>
          <w:lang w:val="en-GB"/>
        </w:rPr>
        <w:t xml:space="preserve"> </w:t>
      </w:r>
      <w:r w:rsidRPr="004B0AA9">
        <w:rPr>
          <w:rFonts w:ascii="Arial" w:hAnsi="Arial" w:cs="Arial"/>
          <w:lang w:val="en-GB"/>
        </w:rPr>
        <w:t>the threat to the future of francophone music.</w:t>
      </w:r>
    </w:p>
    <w:sectPr w:rsidR="004B0AA9" w:rsidRPr="00FD5186" w:rsidSect="004B0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A9"/>
    <w:rsid w:val="001C261F"/>
    <w:rsid w:val="004B0AA9"/>
    <w:rsid w:val="009D09D0"/>
    <w:rsid w:val="00D3128C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330B"/>
  <w15:chartTrackingRefBased/>
  <w15:docId w15:val="{71E7000C-84BE-42C0-B592-3E1F209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218F4-6060-4009-AA0F-8C486EDB1542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C3C966-6F71-4DB4-8685-3F9878FD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4FB25-9F71-4717-8799-E6D12509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43E08E9D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2</cp:revision>
  <dcterms:created xsi:type="dcterms:W3CDTF">2017-01-07T21:50:00Z</dcterms:created>
  <dcterms:modified xsi:type="dcterms:W3CDTF">2017-11-14T11:25:00Z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