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BC92B" w14:textId="77777777" w:rsidR="007B75B8" w:rsidRPr="007B75B8" w:rsidRDefault="007B75B8" w:rsidP="00CC4707">
      <w:pPr>
        <w:spacing w:after="0" w:line="360" w:lineRule="atLeast"/>
        <w:outlineLvl w:val="1"/>
        <w:rPr>
          <w:rFonts w:ascii="Segoe UI" w:eastAsia="Times New Roman" w:hAnsi="Segoe UI" w:cs="Segoe UI"/>
          <w:b/>
          <w:bCs/>
          <w:sz w:val="30"/>
          <w:szCs w:val="30"/>
          <w:lang w:val="en" w:eastAsia="en-GB"/>
        </w:rPr>
      </w:pPr>
      <w:r w:rsidRPr="007B75B8">
        <w:rPr>
          <w:rFonts w:ascii="Segoe UI" w:eastAsia="Times New Roman" w:hAnsi="Segoe UI" w:cs="Segoe UI"/>
          <w:b/>
          <w:bCs/>
          <w:sz w:val="30"/>
          <w:szCs w:val="30"/>
          <w:lang w:val="en" w:eastAsia="en-GB"/>
        </w:rPr>
        <w:t>Change management</w:t>
      </w:r>
    </w:p>
    <w:p w14:paraId="119BC92C" w14:textId="77777777" w:rsidR="007B75B8" w:rsidRPr="007B75B8" w:rsidRDefault="007B75B8" w:rsidP="007B75B8">
      <w:pPr>
        <w:spacing w:after="0" w:line="288" w:lineRule="atLeast"/>
        <w:rPr>
          <w:rFonts w:ascii="Arial" w:eastAsia="Times New Roman" w:hAnsi="Arial" w:cs="Arial"/>
          <w:sz w:val="20"/>
          <w:szCs w:val="20"/>
          <w:lang w:val="en" w:eastAsia="en-GB"/>
        </w:rPr>
      </w:pPr>
    </w:p>
    <w:p w14:paraId="0A8B92FC" w14:textId="77777777" w:rsidR="00CC4707" w:rsidRPr="00CC4707" w:rsidRDefault="007B75B8" w:rsidP="007B75B8">
      <w:pPr>
        <w:spacing w:after="150" w:line="288" w:lineRule="atLeast"/>
        <w:rPr>
          <w:rFonts w:eastAsia="Times New Roman" w:cs="Arial"/>
          <w:lang w:val="en" w:eastAsia="en-GB"/>
        </w:rPr>
      </w:pPr>
      <w:r w:rsidRPr="00CC4707">
        <w:rPr>
          <w:rFonts w:eastAsia="Times New Roman" w:cs="Arial"/>
          <w:lang w:val="en" w:eastAsia="en-GB"/>
        </w:rPr>
        <w:t>Change management is a collective term for all approaches to preparing and supporting individuals, teams, and organizations in making organizational change.</w:t>
      </w:r>
    </w:p>
    <w:p w14:paraId="20AC503A" w14:textId="77777777" w:rsidR="00CC4707" w:rsidRPr="00CC4707" w:rsidRDefault="007B75B8" w:rsidP="007B75B8">
      <w:pPr>
        <w:spacing w:after="150" w:line="288" w:lineRule="atLeast"/>
        <w:rPr>
          <w:rFonts w:eastAsia="Times New Roman" w:cs="Arial"/>
          <w:lang w:val="en" w:eastAsia="en-GB"/>
        </w:rPr>
      </w:pPr>
      <w:r w:rsidRPr="00CC4707">
        <w:rPr>
          <w:rFonts w:eastAsia="Times New Roman" w:cs="Arial"/>
          <w:lang w:val="en" w:eastAsia="en-GB"/>
        </w:rPr>
        <w:t xml:space="preserve">It includes methods that redirect or redefine the use of resources, business process, budget allocations, or other modes of operation that significantly change a company or organization. </w:t>
      </w:r>
    </w:p>
    <w:p w14:paraId="119BC92D" w14:textId="0D8E7DB1" w:rsidR="007B75B8" w:rsidRPr="00CC4707" w:rsidRDefault="007B75B8" w:rsidP="007B75B8">
      <w:pPr>
        <w:spacing w:after="150" w:line="288" w:lineRule="atLeast"/>
        <w:rPr>
          <w:rFonts w:eastAsia="Times New Roman" w:cs="Arial"/>
          <w:lang w:val="en" w:eastAsia="en-GB"/>
        </w:rPr>
      </w:pPr>
      <w:r w:rsidRPr="00CC4707">
        <w:rPr>
          <w:rFonts w:eastAsia="Times New Roman" w:cs="Arial"/>
          <w:lang w:val="en" w:eastAsia="en-GB"/>
        </w:rPr>
        <w:t>Organizational change management considers the full organization and what needs to change, while change management may be used solely to refer to how people and teams are affected by such organizational transition. It deals with many different disciplines, from behavioral and social sciences to information technology and business solutions.</w:t>
      </w:r>
    </w:p>
    <w:p w14:paraId="089F2AC3" w14:textId="539689F1" w:rsidR="00CC4707" w:rsidRPr="00CC4707" w:rsidRDefault="00CC4707">
      <w:pPr>
        <w:rPr>
          <w:color w:val="0563C1" w:themeColor="hyperlink"/>
          <w:u w:val="single"/>
        </w:rPr>
      </w:pPr>
      <w:hyperlink r:id="rId8" w:history="1">
        <w:r w:rsidR="002F6F3E" w:rsidRPr="00CC4707">
          <w:rPr>
            <w:rStyle w:val="Hyperlink"/>
          </w:rPr>
          <w:t>http://www.businessballs.com/changemanagement.htm</w:t>
        </w:r>
      </w:hyperlink>
      <w:bookmarkStart w:id="0" w:name="_GoBack"/>
      <w:bookmarkEnd w:id="0"/>
    </w:p>
    <w:p w14:paraId="119BC92F" w14:textId="22AC6C04" w:rsidR="002F6F3E" w:rsidRPr="00CC4707" w:rsidRDefault="00CC4707" w:rsidP="002F6F3E">
      <w:pPr>
        <w:pStyle w:val="Heading2"/>
        <w:rPr>
          <w:rFonts w:cs="Helvetica"/>
          <w:sz w:val="24"/>
          <w:szCs w:val="24"/>
          <w:lang w:val="en"/>
        </w:rPr>
      </w:pPr>
      <w:r w:rsidRPr="00CC4707">
        <w:rPr>
          <w:rFonts w:cs="Helvetica"/>
          <w:sz w:val="24"/>
          <w:szCs w:val="24"/>
          <w:lang w:val="en"/>
        </w:rPr>
        <w:t>C</w:t>
      </w:r>
      <w:r w:rsidR="002F6F3E" w:rsidRPr="00CC4707">
        <w:rPr>
          <w:rFonts w:cs="Helvetica"/>
          <w:sz w:val="24"/>
          <w:szCs w:val="24"/>
          <w:lang w:val="en"/>
        </w:rPr>
        <w:t>hange management principles</w:t>
      </w:r>
    </w:p>
    <w:p w14:paraId="7D46B99C" w14:textId="7793D016" w:rsidR="00CC4707" w:rsidRPr="00CC4707" w:rsidRDefault="002F6F3E" w:rsidP="00CC4707">
      <w:pPr>
        <w:numPr>
          <w:ilvl w:val="0"/>
          <w:numId w:val="4"/>
        </w:numPr>
        <w:spacing w:before="100" w:beforeAutospacing="1" w:after="100" w:afterAutospacing="1" w:line="240" w:lineRule="auto"/>
        <w:rPr>
          <w:rFonts w:cs="Helvetica"/>
          <w:color w:val="333333"/>
          <w:lang w:val="en"/>
        </w:rPr>
      </w:pPr>
      <w:r w:rsidRPr="00CC4707">
        <w:rPr>
          <w:rFonts w:cs="Helvetica"/>
          <w:color w:val="333333"/>
          <w:lang w:val="en"/>
        </w:rPr>
        <w:t xml:space="preserve">At all times involve and agree support from people within system (system = environment, processes, culture, relationships, behaviours, etc., whether personal or organisational). </w:t>
      </w:r>
    </w:p>
    <w:p w14:paraId="2C86CCF4" w14:textId="4FFB7D2C" w:rsidR="00CC4707" w:rsidRPr="00CC4707" w:rsidRDefault="002F6F3E" w:rsidP="00CC4707">
      <w:pPr>
        <w:numPr>
          <w:ilvl w:val="0"/>
          <w:numId w:val="4"/>
        </w:numPr>
        <w:spacing w:before="100" w:beforeAutospacing="1" w:after="100" w:afterAutospacing="1" w:line="240" w:lineRule="auto"/>
        <w:rPr>
          <w:rFonts w:cs="Helvetica"/>
          <w:color w:val="333333"/>
          <w:lang w:val="en"/>
        </w:rPr>
      </w:pPr>
      <w:r w:rsidRPr="00CC4707">
        <w:rPr>
          <w:rFonts w:cs="Helvetica"/>
          <w:color w:val="333333"/>
          <w:lang w:val="en"/>
        </w:rPr>
        <w:t>Understand where you/the</w:t>
      </w:r>
      <w:r w:rsidR="00CC4707" w:rsidRPr="00CC4707">
        <w:rPr>
          <w:rFonts w:cs="Helvetica"/>
          <w:color w:val="333333"/>
          <w:lang w:val="en"/>
        </w:rPr>
        <w:t xml:space="preserve"> organisation is at the moment.</w:t>
      </w:r>
    </w:p>
    <w:p w14:paraId="7CA2DF6A" w14:textId="0845D1E3" w:rsidR="00CC4707" w:rsidRPr="00CC4707" w:rsidRDefault="002F6F3E" w:rsidP="00CC4707">
      <w:pPr>
        <w:numPr>
          <w:ilvl w:val="0"/>
          <w:numId w:val="4"/>
        </w:numPr>
        <w:spacing w:before="100" w:beforeAutospacing="1" w:after="100" w:afterAutospacing="1" w:line="240" w:lineRule="auto"/>
        <w:rPr>
          <w:rFonts w:cs="Helvetica"/>
          <w:color w:val="333333"/>
          <w:lang w:val="en"/>
        </w:rPr>
      </w:pPr>
      <w:r w:rsidRPr="00CC4707">
        <w:rPr>
          <w:rFonts w:cs="Helvetica"/>
          <w:color w:val="333333"/>
          <w:lang w:val="en"/>
        </w:rPr>
        <w:t xml:space="preserve">Understand where you want to be, when, why, and what the measures will be for having got there. </w:t>
      </w:r>
    </w:p>
    <w:p w14:paraId="119BC933" w14:textId="77777777" w:rsidR="002F6F3E" w:rsidRPr="00CC4707" w:rsidRDefault="002F6F3E" w:rsidP="00CC4707">
      <w:pPr>
        <w:numPr>
          <w:ilvl w:val="0"/>
          <w:numId w:val="4"/>
        </w:numPr>
        <w:spacing w:before="100" w:beforeAutospacing="1" w:after="100" w:afterAutospacing="1" w:line="240" w:lineRule="auto"/>
        <w:rPr>
          <w:rFonts w:cs="Helvetica"/>
          <w:color w:val="333333"/>
          <w:lang w:val="en"/>
        </w:rPr>
      </w:pPr>
      <w:r w:rsidRPr="00CC4707">
        <w:rPr>
          <w:rFonts w:cs="Helvetica"/>
          <w:color w:val="333333"/>
          <w:lang w:val="en"/>
        </w:rPr>
        <w:t xml:space="preserve">Plan development towards above No.3 in appropriate achievable measurable stages. </w:t>
      </w:r>
    </w:p>
    <w:p w14:paraId="2F2954E4" w14:textId="35FA932C" w:rsidR="00CC4707" w:rsidRPr="00CC4707" w:rsidRDefault="002F6F3E" w:rsidP="00CC4707">
      <w:pPr>
        <w:numPr>
          <w:ilvl w:val="0"/>
          <w:numId w:val="4"/>
        </w:numPr>
        <w:spacing w:before="100" w:beforeAutospacing="1" w:after="100" w:afterAutospacing="1" w:line="240" w:lineRule="auto"/>
        <w:rPr>
          <w:rFonts w:cs="Helvetica"/>
          <w:color w:val="333333"/>
          <w:lang w:val="en"/>
        </w:rPr>
      </w:pPr>
      <w:r w:rsidRPr="00CC4707">
        <w:rPr>
          <w:rFonts w:cs="Helvetica"/>
          <w:color w:val="333333"/>
          <w:lang w:val="en"/>
        </w:rPr>
        <w:t xml:space="preserve">Communicate, involve, enable and facilitate involvement from people, as early and openly and as fully as is possible. </w:t>
      </w:r>
    </w:p>
    <w:p w14:paraId="06E902E8" w14:textId="71208BC6" w:rsidR="00CC4707" w:rsidRPr="00CC4707" w:rsidRDefault="002F6F3E" w:rsidP="00CC4707">
      <w:pPr>
        <w:pStyle w:val="Heading2"/>
        <w:rPr>
          <w:rFonts w:ascii="inherit" w:hAnsi="inherit" w:cs="Helvetica"/>
          <w:color w:val="DD0000"/>
          <w:sz w:val="24"/>
          <w:szCs w:val="24"/>
          <w:lang w:val="en"/>
        </w:rPr>
      </w:pPr>
      <w:r w:rsidRPr="00CC4707">
        <w:rPr>
          <w:rFonts w:cs="Helvetica"/>
          <w:sz w:val="24"/>
          <w:szCs w:val="24"/>
          <w:lang w:val="en"/>
        </w:rPr>
        <w:t>John P Kotter's</w:t>
      </w:r>
      <w:r w:rsidR="00CC4707" w:rsidRPr="00CC4707">
        <w:rPr>
          <w:rFonts w:cs="Helvetica"/>
          <w:sz w:val="24"/>
          <w:szCs w:val="24"/>
          <w:lang w:val="en"/>
        </w:rPr>
        <w:t xml:space="preserve"> model for Understanding and Managing Change (1995)</w:t>
      </w:r>
    </w:p>
    <w:p w14:paraId="119BC936" w14:textId="34213581" w:rsidR="002F6F3E" w:rsidRPr="00CC4707" w:rsidRDefault="002F6F3E" w:rsidP="002F6F3E">
      <w:pPr>
        <w:pStyle w:val="NormalWeb"/>
        <w:rPr>
          <w:rFonts w:asciiTheme="minorHAnsi" w:hAnsiTheme="minorHAnsi" w:cs="Helvetica"/>
          <w:color w:val="333333"/>
          <w:sz w:val="20"/>
          <w:szCs w:val="20"/>
          <w:lang w:val="en"/>
        </w:rPr>
      </w:pPr>
      <w:r w:rsidRPr="00CC4707">
        <w:rPr>
          <w:rFonts w:asciiTheme="minorHAnsi" w:hAnsiTheme="minorHAnsi" w:cs="Helvetica"/>
          <w:color w:val="333333"/>
          <w:sz w:val="20"/>
          <w:szCs w:val="20"/>
          <w:lang w:val="en"/>
        </w:rPr>
        <w:t xml:space="preserve">Each stage acknowledges a key principle identified by Kotter relating to people's response and approach to change, in which people </w:t>
      </w:r>
      <w:r w:rsidRPr="00CC4707">
        <w:rPr>
          <w:rFonts w:asciiTheme="minorHAnsi" w:hAnsiTheme="minorHAnsi" w:cs="Helvetica"/>
          <w:b/>
          <w:bCs/>
          <w:color w:val="333333"/>
          <w:sz w:val="20"/>
          <w:szCs w:val="20"/>
          <w:lang w:val="en"/>
        </w:rPr>
        <w:t>see</w:t>
      </w:r>
      <w:r w:rsidRPr="00CC4707">
        <w:rPr>
          <w:rFonts w:asciiTheme="minorHAnsi" w:hAnsiTheme="minorHAnsi" w:cs="Helvetica"/>
          <w:color w:val="333333"/>
          <w:sz w:val="20"/>
          <w:szCs w:val="20"/>
          <w:lang w:val="en"/>
        </w:rPr>
        <w:t xml:space="preserve">, </w:t>
      </w:r>
      <w:r w:rsidRPr="00CC4707">
        <w:rPr>
          <w:rFonts w:asciiTheme="minorHAnsi" w:hAnsiTheme="minorHAnsi" w:cs="Helvetica"/>
          <w:b/>
          <w:bCs/>
          <w:color w:val="333333"/>
          <w:sz w:val="20"/>
          <w:szCs w:val="20"/>
          <w:lang w:val="en"/>
        </w:rPr>
        <w:t>feel</w:t>
      </w:r>
      <w:r w:rsidRPr="00CC4707">
        <w:rPr>
          <w:rFonts w:asciiTheme="minorHAnsi" w:hAnsiTheme="minorHAnsi" w:cs="Helvetica"/>
          <w:color w:val="333333"/>
          <w:sz w:val="20"/>
          <w:szCs w:val="20"/>
          <w:lang w:val="en"/>
        </w:rPr>
        <w:t xml:space="preserve"> and then </w:t>
      </w:r>
      <w:r w:rsidRPr="00CC4707">
        <w:rPr>
          <w:rFonts w:asciiTheme="minorHAnsi" w:hAnsiTheme="minorHAnsi" w:cs="Helvetica"/>
          <w:b/>
          <w:bCs/>
          <w:color w:val="333333"/>
          <w:sz w:val="20"/>
          <w:szCs w:val="20"/>
          <w:lang w:val="en"/>
        </w:rPr>
        <w:t>change</w:t>
      </w:r>
      <w:r w:rsidRPr="00CC4707">
        <w:rPr>
          <w:rFonts w:asciiTheme="minorHAnsi" w:hAnsiTheme="minorHAnsi" w:cs="Helvetica"/>
          <w:color w:val="333333"/>
          <w:sz w:val="20"/>
          <w:szCs w:val="20"/>
          <w:lang w:val="en"/>
        </w:rPr>
        <w:t xml:space="preserve">. </w:t>
      </w:r>
    </w:p>
    <w:p w14:paraId="119BC937" w14:textId="77777777" w:rsidR="002F6F3E" w:rsidRPr="00CC4707" w:rsidRDefault="002F6F3E" w:rsidP="002F6F3E">
      <w:pPr>
        <w:pStyle w:val="NormalWeb"/>
        <w:rPr>
          <w:rFonts w:asciiTheme="minorHAnsi" w:hAnsiTheme="minorHAnsi" w:cs="Helvetica"/>
          <w:color w:val="333333"/>
          <w:sz w:val="21"/>
          <w:szCs w:val="21"/>
          <w:lang w:val="en"/>
        </w:rPr>
      </w:pPr>
      <w:r w:rsidRPr="00CC4707">
        <w:rPr>
          <w:rFonts w:asciiTheme="minorHAnsi" w:hAnsiTheme="minorHAnsi" w:cs="Helvetica"/>
          <w:color w:val="333333"/>
          <w:sz w:val="21"/>
          <w:szCs w:val="21"/>
          <w:lang w:val="en"/>
        </w:rPr>
        <w:t xml:space="preserve">Kotter's eight step change model can be summarised as: </w:t>
      </w:r>
    </w:p>
    <w:p w14:paraId="119BC938"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Increase urgency</w:t>
      </w:r>
      <w:r w:rsidRPr="00CC4707">
        <w:rPr>
          <w:rFonts w:cs="Helvetica"/>
          <w:color w:val="333333"/>
          <w:sz w:val="21"/>
          <w:szCs w:val="21"/>
          <w:lang w:val="en"/>
        </w:rPr>
        <w:t xml:space="preserve"> - inspire people to move, make objectives real and relevant. </w:t>
      </w:r>
    </w:p>
    <w:p w14:paraId="119BC939"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Build the guiding team</w:t>
      </w:r>
      <w:r w:rsidRPr="00CC4707">
        <w:rPr>
          <w:rFonts w:cs="Helvetica"/>
          <w:color w:val="333333"/>
          <w:sz w:val="21"/>
          <w:szCs w:val="21"/>
          <w:lang w:val="en"/>
        </w:rPr>
        <w:t xml:space="preserve"> - get the right people in place with the right emotional commitment, and the right mix of skills and levels. </w:t>
      </w:r>
    </w:p>
    <w:p w14:paraId="119BC93A"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Get the vision right</w:t>
      </w:r>
      <w:r w:rsidRPr="00CC4707">
        <w:rPr>
          <w:rFonts w:cs="Helvetica"/>
          <w:color w:val="333333"/>
          <w:sz w:val="21"/>
          <w:szCs w:val="21"/>
          <w:lang w:val="en"/>
        </w:rPr>
        <w:t xml:space="preserve"> - get the team to establish a simple vision and strategy, focus on emotional and creative aspects necessary to drive service and efficiency. </w:t>
      </w:r>
    </w:p>
    <w:p w14:paraId="119BC93B"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Communicate for buy-in</w:t>
      </w:r>
      <w:r w:rsidRPr="00CC4707">
        <w:rPr>
          <w:rFonts w:cs="Helvetica"/>
          <w:color w:val="333333"/>
          <w:sz w:val="21"/>
          <w:szCs w:val="21"/>
          <w:lang w:val="en"/>
        </w:rPr>
        <w:t xml:space="preserve"> - Involve as many people as possible, communicate the essentials, simply, and to appeal and respond to people's needs. De-clutter communications - make technology work for you rather than against. </w:t>
      </w:r>
    </w:p>
    <w:p w14:paraId="119BC93C"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Empower action</w:t>
      </w:r>
      <w:r w:rsidRPr="00CC4707">
        <w:rPr>
          <w:rFonts w:cs="Helvetica"/>
          <w:color w:val="333333"/>
          <w:sz w:val="21"/>
          <w:szCs w:val="21"/>
          <w:lang w:val="en"/>
        </w:rPr>
        <w:t xml:space="preserve"> - Remove obstacles, enable constructive feedback and lots of support from leaders - reward and recognise progress and achievements. </w:t>
      </w:r>
    </w:p>
    <w:p w14:paraId="119BC93D"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Create short-term wins</w:t>
      </w:r>
      <w:r w:rsidRPr="00CC4707">
        <w:rPr>
          <w:rFonts w:cs="Helvetica"/>
          <w:color w:val="333333"/>
          <w:sz w:val="21"/>
          <w:szCs w:val="21"/>
          <w:lang w:val="en"/>
        </w:rPr>
        <w:t xml:space="preserve"> - Set aims that are easy to achieve - in bite-size chunks. Manageable numbers of initiatives. Finish current stages before starting new ones. </w:t>
      </w:r>
    </w:p>
    <w:p w14:paraId="119BC93E"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Don't let up</w:t>
      </w:r>
      <w:r w:rsidRPr="00CC4707">
        <w:rPr>
          <w:rFonts w:cs="Helvetica"/>
          <w:color w:val="333333"/>
          <w:sz w:val="21"/>
          <w:szCs w:val="21"/>
          <w:lang w:val="en"/>
        </w:rPr>
        <w:t xml:space="preserve"> - Foster and encourage determination and persistence - ongoing change - encourage ongoing progress reporting - highlight achieved and future milestones. </w:t>
      </w:r>
    </w:p>
    <w:p w14:paraId="119BC93F" w14:textId="77777777" w:rsidR="002F6F3E" w:rsidRPr="00CC4707" w:rsidRDefault="002F6F3E" w:rsidP="002F6F3E">
      <w:pPr>
        <w:numPr>
          <w:ilvl w:val="0"/>
          <w:numId w:val="3"/>
        </w:numPr>
        <w:spacing w:before="100" w:beforeAutospacing="1" w:after="100" w:afterAutospacing="1" w:line="240" w:lineRule="auto"/>
        <w:rPr>
          <w:rFonts w:cs="Helvetica"/>
          <w:color w:val="333333"/>
          <w:sz w:val="21"/>
          <w:szCs w:val="21"/>
          <w:lang w:val="en"/>
        </w:rPr>
      </w:pPr>
      <w:r w:rsidRPr="00CC4707">
        <w:rPr>
          <w:rFonts w:cs="Helvetica"/>
          <w:b/>
          <w:bCs/>
          <w:color w:val="333333"/>
          <w:sz w:val="21"/>
          <w:szCs w:val="21"/>
          <w:lang w:val="en"/>
        </w:rPr>
        <w:t>Make change stick</w:t>
      </w:r>
      <w:r w:rsidRPr="00CC4707">
        <w:rPr>
          <w:rFonts w:cs="Helvetica"/>
          <w:color w:val="333333"/>
          <w:sz w:val="21"/>
          <w:szCs w:val="21"/>
          <w:lang w:val="en"/>
        </w:rPr>
        <w:t xml:space="preserve"> - Reinforce the value of successful change via recruitment, promotion, new change leaders. Weave change into culture. </w:t>
      </w:r>
    </w:p>
    <w:p w14:paraId="119BC940" w14:textId="77777777" w:rsidR="002F6F3E" w:rsidRPr="00CC4707" w:rsidRDefault="002F6F3E" w:rsidP="002F6F3E">
      <w:pPr>
        <w:pStyle w:val="NormalWeb"/>
        <w:rPr>
          <w:rFonts w:asciiTheme="minorHAnsi" w:hAnsiTheme="minorHAnsi" w:cs="Helvetica"/>
          <w:color w:val="333333"/>
          <w:sz w:val="21"/>
          <w:szCs w:val="21"/>
          <w:lang w:val="en"/>
        </w:rPr>
      </w:pPr>
      <w:r w:rsidRPr="00CC4707">
        <w:rPr>
          <w:rFonts w:asciiTheme="minorHAnsi" w:hAnsiTheme="minorHAnsi" w:cs="Helvetica"/>
          <w:color w:val="333333"/>
          <w:sz w:val="21"/>
          <w:szCs w:val="21"/>
          <w:lang w:val="en"/>
        </w:rPr>
        <w:t xml:space="preserve">Kotter's eight step model is explained more fully on his website </w:t>
      </w:r>
      <w:hyperlink r:id="rId9" w:tgtFrame="_blank" w:history="1">
        <w:r w:rsidRPr="00CC4707">
          <w:rPr>
            <w:rStyle w:val="Hyperlink"/>
            <w:rFonts w:asciiTheme="minorHAnsi" w:hAnsiTheme="minorHAnsi" w:cs="Helvetica"/>
            <w:sz w:val="21"/>
            <w:szCs w:val="21"/>
            <w:lang w:val="en"/>
          </w:rPr>
          <w:t>www.kotterinternational.com</w:t>
        </w:r>
      </w:hyperlink>
      <w:r w:rsidRPr="00CC4707">
        <w:rPr>
          <w:rFonts w:asciiTheme="minorHAnsi" w:hAnsiTheme="minorHAnsi" w:cs="Helvetica"/>
          <w:color w:val="333333"/>
          <w:sz w:val="21"/>
          <w:szCs w:val="21"/>
          <w:lang w:val="en"/>
        </w:rPr>
        <w:t xml:space="preserve">. </w:t>
      </w:r>
    </w:p>
    <w:sectPr w:rsidR="002F6F3E" w:rsidRPr="00CC4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0CE"/>
    <w:multiLevelType w:val="multilevel"/>
    <w:tmpl w:val="6C0EF00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1" w15:restartNumberingAfterBreak="0">
    <w:nsid w:val="0E4C3421"/>
    <w:multiLevelType w:val="multilevel"/>
    <w:tmpl w:val="2404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65A9F"/>
    <w:multiLevelType w:val="multilevel"/>
    <w:tmpl w:val="9ADE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1015E"/>
    <w:multiLevelType w:val="multilevel"/>
    <w:tmpl w:val="60EA8F2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B8"/>
    <w:rsid w:val="002F6F3E"/>
    <w:rsid w:val="007B75B8"/>
    <w:rsid w:val="00CC4707"/>
    <w:rsid w:val="00DB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C92B"/>
  <w15:chartTrackingRefBased/>
  <w15:docId w15:val="{905BDA98-49AD-4F7D-BFD2-4B360115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75B8"/>
    <w:pPr>
      <w:spacing w:after="0" w:line="360" w:lineRule="atLeast"/>
      <w:outlineLvl w:val="1"/>
    </w:pPr>
    <w:rPr>
      <w:rFonts w:ascii="Segoe UI" w:eastAsia="Times New Roman" w:hAnsi="Segoe UI" w:cs="Segoe UI"/>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5B8"/>
    <w:rPr>
      <w:rFonts w:ascii="Segoe UI" w:eastAsia="Times New Roman" w:hAnsi="Segoe UI" w:cs="Segoe UI"/>
      <w:b/>
      <w:bCs/>
      <w:sz w:val="30"/>
      <w:szCs w:val="30"/>
      <w:lang w:eastAsia="en-GB"/>
    </w:rPr>
  </w:style>
  <w:style w:type="character" w:styleId="Hyperlink">
    <w:name w:val="Hyperlink"/>
    <w:basedOn w:val="DefaultParagraphFont"/>
    <w:uiPriority w:val="99"/>
    <w:unhideWhenUsed/>
    <w:rsid w:val="002F6F3E"/>
    <w:rPr>
      <w:color w:val="0563C1" w:themeColor="hyperlink"/>
      <w:u w:val="single"/>
    </w:rPr>
  </w:style>
  <w:style w:type="paragraph" w:styleId="NormalWeb">
    <w:name w:val="Normal (Web)"/>
    <w:basedOn w:val="Normal"/>
    <w:uiPriority w:val="99"/>
    <w:semiHidden/>
    <w:unhideWhenUsed/>
    <w:rsid w:val="002F6F3E"/>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8407">
      <w:bodyDiv w:val="1"/>
      <w:marLeft w:val="0"/>
      <w:marRight w:val="0"/>
      <w:marTop w:val="0"/>
      <w:marBottom w:val="0"/>
      <w:divBdr>
        <w:top w:val="none" w:sz="0" w:space="0" w:color="auto"/>
        <w:left w:val="none" w:sz="0" w:space="0" w:color="auto"/>
        <w:bottom w:val="none" w:sz="0" w:space="0" w:color="auto"/>
        <w:right w:val="none" w:sz="0" w:space="0" w:color="auto"/>
      </w:divBdr>
      <w:divsChild>
        <w:div w:id="1835102263">
          <w:marLeft w:val="0"/>
          <w:marRight w:val="0"/>
          <w:marTop w:val="0"/>
          <w:marBottom w:val="0"/>
          <w:divBdr>
            <w:top w:val="none" w:sz="0" w:space="0" w:color="auto"/>
            <w:left w:val="none" w:sz="0" w:space="0" w:color="auto"/>
            <w:bottom w:val="none" w:sz="0" w:space="0" w:color="auto"/>
            <w:right w:val="none" w:sz="0" w:space="0" w:color="auto"/>
          </w:divBdr>
          <w:divsChild>
            <w:div w:id="452870542">
              <w:marLeft w:val="0"/>
              <w:marRight w:val="0"/>
              <w:marTop w:val="0"/>
              <w:marBottom w:val="0"/>
              <w:divBdr>
                <w:top w:val="none" w:sz="0" w:space="0" w:color="auto"/>
                <w:left w:val="none" w:sz="0" w:space="0" w:color="auto"/>
                <w:bottom w:val="none" w:sz="0" w:space="0" w:color="auto"/>
                <w:right w:val="none" w:sz="0" w:space="0" w:color="auto"/>
              </w:divBdr>
              <w:divsChild>
                <w:div w:id="1512521963">
                  <w:marLeft w:val="0"/>
                  <w:marRight w:val="0"/>
                  <w:marTop w:val="0"/>
                  <w:marBottom w:val="150"/>
                  <w:divBdr>
                    <w:top w:val="none" w:sz="0" w:space="0" w:color="auto"/>
                    <w:left w:val="none" w:sz="0" w:space="0" w:color="auto"/>
                    <w:bottom w:val="single" w:sz="6" w:space="0" w:color="EBEBEB"/>
                    <w:right w:val="none" w:sz="0" w:space="0" w:color="auto"/>
                  </w:divBdr>
                  <w:divsChild>
                    <w:div w:id="1067606635">
                      <w:marLeft w:val="0"/>
                      <w:marRight w:val="0"/>
                      <w:marTop w:val="0"/>
                      <w:marBottom w:val="0"/>
                      <w:divBdr>
                        <w:top w:val="none" w:sz="0" w:space="0" w:color="auto"/>
                        <w:left w:val="none" w:sz="0" w:space="0" w:color="auto"/>
                        <w:bottom w:val="none" w:sz="0" w:space="0" w:color="auto"/>
                        <w:right w:val="none" w:sz="0" w:space="0" w:color="auto"/>
                      </w:divBdr>
                      <w:divsChild>
                        <w:div w:id="1256085830">
                          <w:marLeft w:val="0"/>
                          <w:marRight w:val="0"/>
                          <w:marTop w:val="0"/>
                          <w:marBottom w:val="0"/>
                          <w:divBdr>
                            <w:top w:val="none" w:sz="0" w:space="0" w:color="auto"/>
                            <w:left w:val="none" w:sz="0" w:space="0" w:color="auto"/>
                            <w:bottom w:val="none" w:sz="0" w:space="0" w:color="auto"/>
                            <w:right w:val="none" w:sz="0" w:space="0" w:color="auto"/>
                          </w:divBdr>
                          <w:divsChild>
                            <w:div w:id="778256624">
                              <w:marLeft w:val="0"/>
                              <w:marRight w:val="0"/>
                              <w:marTop w:val="0"/>
                              <w:marBottom w:val="0"/>
                              <w:divBdr>
                                <w:top w:val="none" w:sz="0" w:space="0" w:color="auto"/>
                                <w:left w:val="none" w:sz="0" w:space="0" w:color="auto"/>
                                <w:bottom w:val="none" w:sz="0" w:space="0" w:color="auto"/>
                                <w:right w:val="none" w:sz="0" w:space="0" w:color="auto"/>
                              </w:divBdr>
                            </w:div>
                          </w:divsChild>
                        </w:div>
                        <w:div w:id="336230864">
                          <w:marLeft w:val="0"/>
                          <w:marRight w:val="0"/>
                          <w:marTop w:val="0"/>
                          <w:marBottom w:val="0"/>
                          <w:divBdr>
                            <w:top w:val="none" w:sz="0" w:space="0" w:color="auto"/>
                            <w:left w:val="none" w:sz="0" w:space="0" w:color="auto"/>
                            <w:bottom w:val="none" w:sz="0" w:space="0" w:color="auto"/>
                            <w:right w:val="none" w:sz="0" w:space="0" w:color="auto"/>
                          </w:divBdr>
                          <w:divsChild>
                            <w:div w:id="1293634222">
                              <w:marLeft w:val="0"/>
                              <w:marRight w:val="0"/>
                              <w:marTop w:val="0"/>
                              <w:marBottom w:val="0"/>
                              <w:divBdr>
                                <w:top w:val="none" w:sz="0" w:space="0" w:color="auto"/>
                                <w:left w:val="none" w:sz="0" w:space="0" w:color="auto"/>
                                <w:bottom w:val="none" w:sz="0" w:space="0" w:color="auto"/>
                                <w:right w:val="none" w:sz="0" w:space="0" w:color="auto"/>
                              </w:divBdr>
                              <w:divsChild>
                                <w:div w:id="18401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77530">
      <w:bodyDiv w:val="1"/>
      <w:marLeft w:val="0"/>
      <w:marRight w:val="0"/>
      <w:marTop w:val="0"/>
      <w:marBottom w:val="0"/>
      <w:divBdr>
        <w:top w:val="none" w:sz="0" w:space="0" w:color="auto"/>
        <w:left w:val="none" w:sz="0" w:space="0" w:color="auto"/>
        <w:bottom w:val="none" w:sz="0" w:space="0" w:color="auto"/>
        <w:right w:val="none" w:sz="0" w:space="0" w:color="auto"/>
      </w:divBdr>
      <w:divsChild>
        <w:div w:id="1884366103">
          <w:marLeft w:val="0"/>
          <w:marRight w:val="0"/>
          <w:marTop w:val="0"/>
          <w:marBottom w:val="0"/>
          <w:divBdr>
            <w:top w:val="none" w:sz="0" w:space="0" w:color="auto"/>
            <w:left w:val="none" w:sz="0" w:space="0" w:color="auto"/>
            <w:bottom w:val="none" w:sz="0" w:space="0" w:color="auto"/>
            <w:right w:val="none" w:sz="0" w:space="0" w:color="auto"/>
          </w:divBdr>
          <w:divsChild>
            <w:div w:id="258098347">
              <w:marLeft w:val="-225"/>
              <w:marRight w:val="-225"/>
              <w:marTop w:val="0"/>
              <w:marBottom w:val="0"/>
              <w:divBdr>
                <w:top w:val="none" w:sz="0" w:space="0" w:color="auto"/>
                <w:left w:val="none" w:sz="0" w:space="0" w:color="auto"/>
                <w:bottom w:val="none" w:sz="0" w:space="0" w:color="auto"/>
                <w:right w:val="none" w:sz="0" w:space="0" w:color="auto"/>
              </w:divBdr>
              <w:divsChild>
                <w:div w:id="1301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changemanagement.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tter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9B5DFD-EACE-4042-BBAB-4A0BA9FD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48134-83FB-4666-B525-3F423B185476}">
  <ds:schemaRefs>
    <ds:schemaRef ds:uri="http://schemas.microsoft.com/sharepoint/v3/contenttype/forms"/>
  </ds:schemaRefs>
</ds:datastoreItem>
</file>

<file path=customXml/itemProps3.xml><?xml version="1.0" encoding="utf-8"?>
<ds:datastoreItem xmlns:ds="http://schemas.openxmlformats.org/officeDocument/2006/customXml" ds:itemID="{5C6FF807-151F-46AC-BB08-A046F66402E9}">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4EC6817D</Template>
  <TotalTime>25</TotalTime>
  <Pages>1</Pages>
  <Words>453</Words>
  <Characters>2587</Characters>
  <Application>Microsoft Office Word</Application>
  <DocSecurity>0</DocSecurity>
  <Lines>21</Lines>
  <Paragraphs>6</Paragraphs>
  <ScaleCrop>false</ScaleCrop>
  <Company>Godalming College</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3</cp:revision>
  <dcterms:created xsi:type="dcterms:W3CDTF">2017-06-20T11:52:00Z</dcterms:created>
  <dcterms:modified xsi:type="dcterms:W3CDTF">2018-02-01T15:36:00Z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