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B2" w:rsidRPr="000B5AB2" w:rsidRDefault="000B5AB2" w:rsidP="000B5AB2">
      <w:pPr>
        <w:jc w:val="center"/>
        <w:rPr>
          <w:rFonts w:asciiTheme="minorHAnsi" w:hAnsiTheme="minorHAnsi" w:cs="Arial"/>
          <w:b/>
          <w:sz w:val="24"/>
          <w:szCs w:val="24"/>
          <w:u w:val="single"/>
        </w:rPr>
      </w:pPr>
      <w:r w:rsidRPr="000B5AB2">
        <w:rPr>
          <w:rFonts w:asciiTheme="minorHAnsi" w:hAnsiTheme="minorHAnsi" w:cs="Arial"/>
          <w:b/>
          <w:sz w:val="24"/>
          <w:szCs w:val="24"/>
          <w:u w:val="single"/>
        </w:rPr>
        <w:t>Childhood 10 mark questions</w:t>
      </w:r>
    </w:p>
    <w:p w:rsidR="000B5AB2" w:rsidRPr="000B5AB2" w:rsidRDefault="000B5AB2" w:rsidP="000B5AB2">
      <w:pPr>
        <w:jc w:val="center"/>
        <w:rPr>
          <w:rFonts w:asciiTheme="minorHAnsi" w:hAnsiTheme="minorHAnsi" w:cs="Arial"/>
          <w:b/>
          <w:sz w:val="24"/>
          <w:szCs w:val="24"/>
        </w:rPr>
      </w:pPr>
    </w:p>
    <w:p w:rsidR="000B5AB2" w:rsidRPr="000B5AB2" w:rsidRDefault="000B5AB2" w:rsidP="000B5AB2">
      <w:pPr>
        <w:pStyle w:val="ListParagraph"/>
        <w:numPr>
          <w:ilvl w:val="0"/>
          <w:numId w:val="1"/>
        </w:numPr>
        <w:rPr>
          <w:rFonts w:asciiTheme="minorHAnsi" w:hAnsiTheme="minorHAnsi" w:cs="Arial"/>
          <w:sz w:val="24"/>
          <w:szCs w:val="24"/>
          <w:u w:val="single"/>
        </w:rPr>
      </w:pPr>
      <w:r w:rsidRPr="000B5AB2">
        <w:rPr>
          <w:rFonts w:asciiTheme="minorHAnsi" w:hAnsiTheme="minorHAnsi" w:cs="Arial"/>
          <w:sz w:val="24"/>
          <w:szCs w:val="24"/>
        </w:rPr>
        <w:t xml:space="preserve">Outline and explain two changes in society which may be reducing the distinction between “childhood” and “adulthood”. (10marks) </w:t>
      </w:r>
    </w:p>
    <w:tbl>
      <w:tblPr>
        <w:tblStyle w:val="TableGrid"/>
        <w:tblW w:w="10627" w:type="dxa"/>
        <w:tblLook w:val="04A0" w:firstRow="1" w:lastRow="0" w:firstColumn="1" w:lastColumn="0" w:noHBand="0" w:noVBand="1"/>
      </w:tblPr>
      <w:tblGrid>
        <w:gridCol w:w="5382"/>
        <w:gridCol w:w="5245"/>
      </w:tblGrid>
      <w:tr w:rsidR="000B5AB2" w:rsidTr="000B5AB2">
        <w:tc>
          <w:tcPr>
            <w:tcW w:w="5382" w:type="dxa"/>
          </w:tcPr>
          <w:p w:rsidR="000B5AB2" w:rsidRDefault="000B5AB2" w:rsidP="000B5AB2">
            <w:pPr>
              <w:rPr>
                <w:rFonts w:asciiTheme="minorHAnsi" w:hAnsiTheme="minorHAnsi" w:cs="Arial"/>
                <w:sz w:val="24"/>
                <w:szCs w:val="24"/>
                <w:u w:val="single"/>
              </w:rPr>
            </w:pPr>
            <w:r>
              <w:rPr>
                <w:rFonts w:asciiTheme="minorHAnsi" w:hAnsiTheme="minorHAnsi" w:cs="Arial"/>
                <w:sz w:val="24"/>
                <w:szCs w:val="24"/>
                <w:u w:val="single"/>
              </w:rPr>
              <w:t>Point 1:</w:t>
            </w: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bookmarkStart w:id="0" w:name="_GoBack"/>
            <w:bookmarkEnd w:id="0"/>
          </w:p>
        </w:tc>
        <w:tc>
          <w:tcPr>
            <w:tcW w:w="5245" w:type="dxa"/>
          </w:tcPr>
          <w:p w:rsidR="000B5AB2" w:rsidRDefault="000B5AB2" w:rsidP="000B5AB2">
            <w:pPr>
              <w:rPr>
                <w:rFonts w:asciiTheme="minorHAnsi" w:hAnsiTheme="minorHAnsi" w:cs="Arial"/>
                <w:sz w:val="24"/>
                <w:szCs w:val="24"/>
                <w:u w:val="single"/>
              </w:rPr>
            </w:pPr>
            <w:r>
              <w:rPr>
                <w:rFonts w:asciiTheme="minorHAnsi" w:hAnsiTheme="minorHAnsi" w:cs="Arial"/>
                <w:sz w:val="24"/>
                <w:szCs w:val="24"/>
                <w:u w:val="single"/>
              </w:rPr>
              <w:t>Point 2:</w:t>
            </w:r>
          </w:p>
        </w:tc>
      </w:tr>
      <w:tr w:rsidR="000B5AB2" w:rsidTr="000B5AB2">
        <w:tc>
          <w:tcPr>
            <w:tcW w:w="5382" w:type="dxa"/>
          </w:tcPr>
          <w:p w:rsidR="000B5AB2" w:rsidRDefault="000B5AB2" w:rsidP="000B5AB2">
            <w:pPr>
              <w:rPr>
                <w:rFonts w:asciiTheme="minorHAnsi" w:hAnsiTheme="minorHAnsi" w:cs="Arial"/>
                <w:sz w:val="24"/>
                <w:szCs w:val="24"/>
                <w:u w:val="single"/>
              </w:rPr>
            </w:pPr>
            <w:r>
              <w:rPr>
                <w:rFonts w:asciiTheme="minorHAnsi" w:hAnsiTheme="minorHAnsi" w:cs="Arial"/>
                <w:sz w:val="24"/>
                <w:szCs w:val="24"/>
                <w:u w:val="single"/>
              </w:rPr>
              <w:t>Evidence:</w:t>
            </w: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tc>
        <w:tc>
          <w:tcPr>
            <w:tcW w:w="5245" w:type="dxa"/>
          </w:tcPr>
          <w:p w:rsidR="000B5AB2" w:rsidRDefault="000B5AB2" w:rsidP="000B5AB2">
            <w:pPr>
              <w:rPr>
                <w:rFonts w:asciiTheme="minorHAnsi" w:hAnsiTheme="minorHAnsi" w:cs="Arial"/>
                <w:sz w:val="24"/>
                <w:szCs w:val="24"/>
                <w:u w:val="single"/>
              </w:rPr>
            </w:pPr>
          </w:p>
        </w:tc>
      </w:tr>
    </w:tbl>
    <w:p w:rsidR="000B5AB2" w:rsidRDefault="000B5AB2" w:rsidP="000B5AB2">
      <w:pPr>
        <w:rPr>
          <w:rFonts w:asciiTheme="minorHAnsi" w:hAnsiTheme="minorHAnsi" w:cs="Arial"/>
          <w:sz w:val="24"/>
          <w:szCs w:val="24"/>
          <w:u w:val="single"/>
        </w:rPr>
      </w:pPr>
    </w:p>
    <w:p w:rsidR="000B5AB2" w:rsidRDefault="000B5AB2" w:rsidP="000B5AB2">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05050D">
        <w:rPr>
          <w:rFonts w:asciiTheme="minorHAnsi" w:hAnsiTheme="minorHAnsi" w:cs="Arial"/>
          <w:i/>
          <w:sz w:val="24"/>
          <w:szCs w:val="24"/>
        </w:rPr>
        <w:t>Item A: A popular view is that childhood is a fixed, universal, biological stage of physical and physiological immaturity that is common to all human beings. Everyone will pass through it on the way to biological maturity and adulthood. However, evidence shows that what counts as childhood, what experiences children undergo and what roles they play, are far from universal.</w:t>
      </w:r>
    </w:p>
    <w:p w:rsidR="000B5AB2" w:rsidRDefault="000B5AB2" w:rsidP="000B5AB2">
      <w:pPr>
        <w:pBdr>
          <w:top w:val="single" w:sz="4" w:space="1" w:color="auto"/>
          <w:left w:val="single" w:sz="4" w:space="4" w:color="auto"/>
          <w:bottom w:val="single" w:sz="4" w:space="1" w:color="auto"/>
          <w:right w:val="single" w:sz="4" w:space="4" w:color="auto"/>
        </w:pBdr>
        <w:rPr>
          <w:rFonts w:asciiTheme="minorHAnsi" w:hAnsiTheme="minorHAnsi" w:cs="Arial"/>
          <w:sz w:val="24"/>
          <w:szCs w:val="24"/>
        </w:rPr>
      </w:pPr>
    </w:p>
    <w:p w:rsidR="000B5AB2" w:rsidRPr="000B5AB2" w:rsidRDefault="000B5AB2" w:rsidP="000B5AB2">
      <w:pPr>
        <w:pBdr>
          <w:top w:val="single" w:sz="4" w:space="1" w:color="auto"/>
          <w:left w:val="single" w:sz="4" w:space="4" w:color="auto"/>
          <w:bottom w:val="single" w:sz="4" w:space="1" w:color="auto"/>
          <w:right w:val="single" w:sz="4" w:space="4" w:color="auto"/>
        </w:pBdr>
        <w:rPr>
          <w:rFonts w:asciiTheme="minorHAnsi" w:hAnsiTheme="minorHAnsi" w:cs="Arial"/>
          <w:sz w:val="24"/>
          <w:szCs w:val="24"/>
        </w:rPr>
      </w:pPr>
      <w:proofErr w:type="gramStart"/>
      <w:r>
        <w:rPr>
          <w:rFonts w:asciiTheme="minorHAnsi" w:hAnsiTheme="minorHAnsi" w:cs="Arial"/>
          <w:sz w:val="24"/>
          <w:szCs w:val="24"/>
        </w:rPr>
        <w:t>2</w:t>
      </w:r>
      <w:r>
        <w:rPr>
          <w:rFonts w:asciiTheme="minorHAnsi" w:hAnsiTheme="minorHAnsi" w:cs="Arial"/>
          <w:sz w:val="24"/>
          <w:szCs w:val="24"/>
        </w:rPr>
        <w:t>)</w:t>
      </w:r>
      <w:r w:rsidRPr="000B5AB2">
        <w:rPr>
          <w:rFonts w:asciiTheme="minorHAnsi" w:hAnsiTheme="minorHAnsi" w:cs="Arial"/>
          <w:sz w:val="24"/>
          <w:szCs w:val="24"/>
        </w:rPr>
        <w:t>Applying</w:t>
      </w:r>
      <w:proofErr w:type="gramEnd"/>
      <w:r w:rsidRPr="000B5AB2">
        <w:rPr>
          <w:rFonts w:asciiTheme="minorHAnsi" w:hAnsiTheme="minorHAnsi" w:cs="Arial"/>
          <w:sz w:val="24"/>
          <w:szCs w:val="24"/>
        </w:rPr>
        <w:t xml:space="preserve"> material from Item A, analyse two argument against the view that childhood is a fixed, universal stage [10]</w:t>
      </w:r>
    </w:p>
    <w:p w:rsidR="000B5AB2" w:rsidRDefault="000B5AB2" w:rsidP="000B5AB2"/>
    <w:p w:rsidR="000B5AB2" w:rsidRPr="000B5AB2" w:rsidRDefault="000B5AB2" w:rsidP="000B5AB2">
      <w:pPr>
        <w:rPr>
          <w:rFonts w:asciiTheme="minorHAnsi" w:hAnsiTheme="minorHAnsi"/>
        </w:rPr>
      </w:pPr>
    </w:p>
    <w:tbl>
      <w:tblPr>
        <w:tblStyle w:val="TableGrid"/>
        <w:tblW w:w="10627" w:type="dxa"/>
        <w:tblLook w:val="04A0" w:firstRow="1" w:lastRow="0" w:firstColumn="1" w:lastColumn="0" w:noHBand="0" w:noVBand="1"/>
      </w:tblPr>
      <w:tblGrid>
        <w:gridCol w:w="5382"/>
        <w:gridCol w:w="5245"/>
      </w:tblGrid>
      <w:tr w:rsidR="000B5AB2" w:rsidTr="000B5AB2">
        <w:tc>
          <w:tcPr>
            <w:tcW w:w="5382" w:type="dxa"/>
          </w:tcPr>
          <w:p w:rsidR="000B5AB2" w:rsidRDefault="000B5AB2" w:rsidP="00A45373">
            <w:pPr>
              <w:rPr>
                <w:rFonts w:asciiTheme="minorHAnsi" w:hAnsiTheme="minorHAnsi" w:cs="Arial"/>
                <w:sz w:val="24"/>
                <w:szCs w:val="24"/>
                <w:u w:val="single"/>
              </w:rPr>
            </w:pPr>
            <w:r>
              <w:rPr>
                <w:rFonts w:asciiTheme="minorHAnsi" w:hAnsiTheme="minorHAnsi" w:cs="Arial"/>
                <w:sz w:val="24"/>
                <w:szCs w:val="24"/>
                <w:u w:val="single"/>
              </w:rPr>
              <w:t>Point 1:</w:t>
            </w: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tc>
        <w:tc>
          <w:tcPr>
            <w:tcW w:w="5245" w:type="dxa"/>
          </w:tcPr>
          <w:p w:rsidR="000B5AB2" w:rsidRDefault="000B5AB2" w:rsidP="00A45373">
            <w:pPr>
              <w:rPr>
                <w:rFonts w:asciiTheme="minorHAnsi" w:hAnsiTheme="minorHAnsi" w:cs="Arial"/>
                <w:sz w:val="24"/>
                <w:szCs w:val="24"/>
                <w:u w:val="single"/>
              </w:rPr>
            </w:pPr>
            <w:r>
              <w:rPr>
                <w:rFonts w:asciiTheme="minorHAnsi" w:hAnsiTheme="minorHAnsi" w:cs="Arial"/>
                <w:sz w:val="24"/>
                <w:szCs w:val="24"/>
                <w:u w:val="single"/>
              </w:rPr>
              <w:t>Point 2:</w:t>
            </w:r>
          </w:p>
        </w:tc>
      </w:tr>
      <w:tr w:rsidR="000B5AB2" w:rsidTr="000B5AB2">
        <w:tc>
          <w:tcPr>
            <w:tcW w:w="5382" w:type="dxa"/>
          </w:tcPr>
          <w:p w:rsidR="000B5AB2" w:rsidRDefault="000B5AB2" w:rsidP="00A45373">
            <w:pPr>
              <w:rPr>
                <w:rFonts w:asciiTheme="minorHAnsi" w:hAnsiTheme="minorHAnsi" w:cs="Arial"/>
                <w:sz w:val="24"/>
                <w:szCs w:val="24"/>
                <w:u w:val="single"/>
              </w:rPr>
            </w:pPr>
            <w:r>
              <w:rPr>
                <w:rFonts w:asciiTheme="minorHAnsi" w:hAnsiTheme="minorHAnsi" w:cs="Arial"/>
                <w:sz w:val="24"/>
                <w:szCs w:val="24"/>
                <w:u w:val="single"/>
              </w:rPr>
              <w:t>Evidence:</w:t>
            </w: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tc>
        <w:tc>
          <w:tcPr>
            <w:tcW w:w="5245" w:type="dxa"/>
          </w:tcPr>
          <w:p w:rsidR="000B5AB2" w:rsidRDefault="000B5AB2" w:rsidP="00A45373">
            <w:pPr>
              <w:rPr>
                <w:rFonts w:asciiTheme="minorHAnsi" w:hAnsiTheme="minorHAnsi" w:cs="Arial"/>
                <w:sz w:val="24"/>
                <w:szCs w:val="24"/>
                <w:u w:val="single"/>
              </w:rPr>
            </w:pPr>
          </w:p>
        </w:tc>
      </w:tr>
    </w:tbl>
    <w:p w:rsidR="000B5AB2" w:rsidRDefault="000B5AB2" w:rsidP="000B5AB2">
      <w:pPr>
        <w:rPr>
          <w:rFonts w:asciiTheme="minorHAnsi" w:hAnsiTheme="minorHAnsi" w:cs="Arial"/>
          <w:sz w:val="24"/>
          <w:szCs w:val="24"/>
          <w:u w:val="single"/>
        </w:rPr>
      </w:pPr>
    </w:p>
    <w:p w:rsidR="000B5AB2" w:rsidRDefault="000B5AB2" w:rsidP="000B5AB2">
      <w:pPr>
        <w:rPr>
          <w:rFonts w:asciiTheme="minorHAnsi" w:hAnsiTheme="minorHAnsi" w:cs="Arial"/>
          <w:sz w:val="24"/>
          <w:szCs w:val="24"/>
          <w:u w:val="single"/>
        </w:rPr>
      </w:pPr>
    </w:p>
    <w:p w:rsidR="000B5AB2" w:rsidRPr="000B5AB2" w:rsidRDefault="000B5AB2" w:rsidP="000B5AB2">
      <w:pPr>
        <w:rPr>
          <w:rFonts w:asciiTheme="minorHAnsi" w:hAnsiTheme="minorHAnsi" w:cs="Arial"/>
          <w:sz w:val="24"/>
          <w:szCs w:val="24"/>
          <w:u w:val="single"/>
        </w:rPr>
      </w:pPr>
    </w:p>
    <w:p w:rsidR="000B5AB2" w:rsidRPr="000B5AB2" w:rsidRDefault="000B5AB2" w:rsidP="000B5AB2">
      <w:pPr>
        <w:pStyle w:val="ListParagraph"/>
        <w:numPr>
          <w:ilvl w:val="0"/>
          <w:numId w:val="2"/>
        </w:numPr>
        <w:rPr>
          <w:rFonts w:asciiTheme="minorHAnsi" w:hAnsiTheme="minorHAnsi" w:cs="Arial"/>
          <w:sz w:val="24"/>
          <w:szCs w:val="24"/>
          <w:u w:val="single"/>
        </w:rPr>
      </w:pPr>
      <w:r w:rsidRPr="000B5AB2">
        <w:rPr>
          <w:rFonts w:asciiTheme="minorHAnsi" w:hAnsiTheme="minorHAnsi" w:cs="Arial"/>
          <w:sz w:val="24"/>
          <w:szCs w:val="24"/>
        </w:rPr>
        <w:t>Outline and explain two ways that childhood has changed in the past 100 years (10 marks)</w:t>
      </w:r>
    </w:p>
    <w:tbl>
      <w:tblPr>
        <w:tblStyle w:val="TableGrid"/>
        <w:tblW w:w="10627" w:type="dxa"/>
        <w:tblLook w:val="04A0" w:firstRow="1" w:lastRow="0" w:firstColumn="1" w:lastColumn="0" w:noHBand="0" w:noVBand="1"/>
      </w:tblPr>
      <w:tblGrid>
        <w:gridCol w:w="5382"/>
        <w:gridCol w:w="5245"/>
      </w:tblGrid>
      <w:tr w:rsidR="000B5AB2" w:rsidTr="000B5AB2">
        <w:tc>
          <w:tcPr>
            <w:tcW w:w="5382" w:type="dxa"/>
          </w:tcPr>
          <w:p w:rsidR="000B5AB2" w:rsidRDefault="000B5AB2" w:rsidP="00A45373">
            <w:pPr>
              <w:rPr>
                <w:rFonts w:asciiTheme="minorHAnsi" w:hAnsiTheme="minorHAnsi" w:cs="Arial"/>
                <w:sz w:val="24"/>
                <w:szCs w:val="24"/>
                <w:u w:val="single"/>
              </w:rPr>
            </w:pPr>
            <w:r>
              <w:rPr>
                <w:rFonts w:asciiTheme="minorHAnsi" w:hAnsiTheme="minorHAnsi" w:cs="Arial"/>
                <w:sz w:val="24"/>
                <w:szCs w:val="24"/>
                <w:u w:val="single"/>
              </w:rPr>
              <w:t>Point 1:</w:t>
            </w: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tc>
        <w:tc>
          <w:tcPr>
            <w:tcW w:w="5245" w:type="dxa"/>
          </w:tcPr>
          <w:p w:rsidR="000B5AB2" w:rsidRDefault="000B5AB2" w:rsidP="00A45373">
            <w:pPr>
              <w:rPr>
                <w:rFonts w:asciiTheme="minorHAnsi" w:hAnsiTheme="minorHAnsi" w:cs="Arial"/>
                <w:sz w:val="24"/>
                <w:szCs w:val="24"/>
                <w:u w:val="single"/>
              </w:rPr>
            </w:pPr>
            <w:r>
              <w:rPr>
                <w:rFonts w:asciiTheme="minorHAnsi" w:hAnsiTheme="minorHAnsi" w:cs="Arial"/>
                <w:sz w:val="24"/>
                <w:szCs w:val="24"/>
                <w:u w:val="single"/>
              </w:rPr>
              <w:t>Point 2:</w:t>
            </w:r>
          </w:p>
        </w:tc>
      </w:tr>
      <w:tr w:rsidR="000B5AB2" w:rsidTr="000B5AB2">
        <w:tc>
          <w:tcPr>
            <w:tcW w:w="5382" w:type="dxa"/>
          </w:tcPr>
          <w:p w:rsidR="000B5AB2" w:rsidRDefault="000B5AB2" w:rsidP="00A45373">
            <w:pPr>
              <w:rPr>
                <w:rFonts w:asciiTheme="minorHAnsi" w:hAnsiTheme="minorHAnsi" w:cs="Arial"/>
                <w:sz w:val="24"/>
                <w:szCs w:val="24"/>
                <w:u w:val="single"/>
              </w:rPr>
            </w:pPr>
            <w:r>
              <w:rPr>
                <w:rFonts w:asciiTheme="minorHAnsi" w:hAnsiTheme="minorHAnsi" w:cs="Arial"/>
                <w:sz w:val="24"/>
                <w:szCs w:val="24"/>
                <w:u w:val="single"/>
              </w:rPr>
              <w:t>Evidence:</w:t>
            </w: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tc>
        <w:tc>
          <w:tcPr>
            <w:tcW w:w="5245" w:type="dxa"/>
          </w:tcPr>
          <w:p w:rsidR="000B5AB2" w:rsidRDefault="000B5AB2" w:rsidP="00A45373">
            <w:pPr>
              <w:rPr>
                <w:rFonts w:asciiTheme="minorHAnsi" w:hAnsiTheme="minorHAnsi" w:cs="Arial"/>
                <w:sz w:val="24"/>
                <w:szCs w:val="24"/>
                <w:u w:val="single"/>
              </w:rPr>
            </w:pPr>
          </w:p>
        </w:tc>
      </w:tr>
    </w:tbl>
    <w:p w:rsidR="000B5AB2" w:rsidRPr="000B5AB2" w:rsidRDefault="000B5AB2" w:rsidP="000B5AB2">
      <w:pPr>
        <w:rPr>
          <w:rFonts w:asciiTheme="minorHAnsi" w:hAnsiTheme="minorHAnsi" w:cs="Arial"/>
          <w:sz w:val="24"/>
          <w:szCs w:val="24"/>
          <w:u w:val="single"/>
        </w:rPr>
      </w:pPr>
    </w:p>
    <w:p w:rsidR="000B5AB2" w:rsidRDefault="000B5AB2" w:rsidP="000B5AB2">
      <w:pPr>
        <w:pStyle w:val="ListParagraph"/>
        <w:numPr>
          <w:ilvl w:val="0"/>
          <w:numId w:val="2"/>
        </w:numPr>
        <w:rPr>
          <w:rFonts w:asciiTheme="minorHAnsi" w:hAnsiTheme="minorHAnsi" w:cs="Arial"/>
          <w:sz w:val="24"/>
          <w:szCs w:val="24"/>
        </w:rPr>
      </w:pPr>
      <w:r w:rsidRPr="004158AB">
        <w:rPr>
          <w:rFonts w:asciiTheme="minorHAnsi" w:hAnsiTheme="minorHAnsi" w:cs="Arial"/>
          <w:sz w:val="24"/>
          <w:szCs w:val="24"/>
        </w:rPr>
        <w:t>Outline and explain two changes in society which demonstrate that society has become increasingly child centred (10marks)</w:t>
      </w:r>
    </w:p>
    <w:tbl>
      <w:tblPr>
        <w:tblStyle w:val="TableGrid"/>
        <w:tblW w:w="10485" w:type="dxa"/>
        <w:tblLook w:val="04A0" w:firstRow="1" w:lastRow="0" w:firstColumn="1" w:lastColumn="0" w:noHBand="0" w:noVBand="1"/>
      </w:tblPr>
      <w:tblGrid>
        <w:gridCol w:w="5382"/>
        <w:gridCol w:w="5103"/>
      </w:tblGrid>
      <w:tr w:rsidR="000B5AB2" w:rsidTr="000B5AB2">
        <w:tc>
          <w:tcPr>
            <w:tcW w:w="5382" w:type="dxa"/>
          </w:tcPr>
          <w:p w:rsidR="000B5AB2" w:rsidRDefault="000B5AB2" w:rsidP="00A45373">
            <w:pPr>
              <w:rPr>
                <w:rFonts w:asciiTheme="minorHAnsi" w:hAnsiTheme="minorHAnsi" w:cs="Arial"/>
                <w:sz w:val="24"/>
                <w:szCs w:val="24"/>
                <w:u w:val="single"/>
              </w:rPr>
            </w:pPr>
            <w:r>
              <w:rPr>
                <w:rFonts w:asciiTheme="minorHAnsi" w:hAnsiTheme="minorHAnsi" w:cs="Arial"/>
                <w:sz w:val="24"/>
                <w:szCs w:val="24"/>
                <w:u w:val="single"/>
              </w:rPr>
              <w:t>Point 1:</w:t>
            </w: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tc>
        <w:tc>
          <w:tcPr>
            <w:tcW w:w="5103" w:type="dxa"/>
          </w:tcPr>
          <w:p w:rsidR="000B5AB2" w:rsidRDefault="000B5AB2" w:rsidP="00A45373">
            <w:pPr>
              <w:rPr>
                <w:rFonts w:asciiTheme="minorHAnsi" w:hAnsiTheme="minorHAnsi" w:cs="Arial"/>
                <w:sz w:val="24"/>
                <w:szCs w:val="24"/>
                <w:u w:val="single"/>
              </w:rPr>
            </w:pPr>
            <w:r>
              <w:rPr>
                <w:rFonts w:asciiTheme="minorHAnsi" w:hAnsiTheme="minorHAnsi" w:cs="Arial"/>
                <w:sz w:val="24"/>
                <w:szCs w:val="24"/>
                <w:u w:val="single"/>
              </w:rPr>
              <w:t>Point 2:</w:t>
            </w:r>
          </w:p>
        </w:tc>
      </w:tr>
      <w:tr w:rsidR="000B5AB2" w:rsidTr="000B5AB2">
        <w:tc>
          <w:tcPr>
            <w:tcW w:w="5382" w:type="dxa"/>
          </w:tcPr>
          <w:p w:rsidR="000B5AB2" w:rsidRDefault="000B5AB2" w:rsidP="00A45373">
            <w:pPr>
              <w:rPr>
                <w:rFonts w:asciiTheme="minorHAnsi" w:hAnsiTheme="minorHAnsi" w:cs="Arial"/>
                <w:sz w:val="24"/>
                <w:szCs w:val="24"/>
                <w:u w:val="single"/>
              </w:rPr>
            </w:pPr>
            <w:r>
              <w:rPr>
                <w:rFonts w:asciiTheme="minorHAnsi" w:hAnsiTheme="minorHAnsi" w:cs="Arial"/>
                <w:sz w:val="24"/>
                <w:szCs w:val="24"/>
                <w:u w:val="single"/>
              </w:rPr>
              <w:t>Evidence:</w:t>
            </w: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p w:rsidR="000B5AB2" w:rsidRDefault="000B5AB2" w:rsidP="00A45373">
            <w:pPr>
              <w:rPr>
                <w:rFonts w:asciiTheme="minorHAnsi" w:hAnsiTheme="minorHAnsi" w:cs="Arial"/>
                <w:sz w:val="24"/>
                <w:szCs w:val="24"/>
                <w:u w:val="single"/>
              </w:rPr>
            </w:pPr>
          </w:p>
        </w:tc>
        <w:tc>
          <w:tcPr>
            <w:tcW w:w="5103" w:type="dxa"/>
          </w:tcPr>
          <w:p w:rsidR="000B5AB2" w:rsidRDefault="000B5AB2" w:rsidP="00A45373">
            <w:pPr>
              <w:rPr>
                <w:rFonts w:asciiTheme="minorHAnsi" w:hAnsiTheme="minorHAnsi" w:cs="Arial"/>
                <w:sz w:val="24"/>
                <w:szCs w:val="24"/>
                <w:u w:val="single"/>
              </w:rPr>
            </w:pPr>
          </w:p>
        </w:tc>
      </w:tr>
    </w:tbl>
    <w:p w:rsidR="000B5AB2" w:rsidRPr="000B5AB2" w:rsidRDefault="000B5AB2" w:rsidP="000B5AB2">
      <w:pPr>
        <w:rPr>
          <w:rFonts w:asciiTheme="minorHAnsi" w:hAnsiTheme="minorHAnsi" w:cs="Arial"/>
          <w:sz w:val="24"/>
          <w:szCs w:val="24"/>
        </w:rPr>
      </w:pPr>
    </w:p>
    <w:p w:rsidR="000B5AB2" w:rsidRDefault="000B5AB2">
      <w:pPr>
        <w:rPr>
          <w:rFonts w:asciiTheme="minorHAnsi" w:hAnsiTheme="minorHAnsi"/>
          <w:b/>
          <w:sz w:val="24"/>
        </w:rPr>
      </w:pPr>
    </w:p>
    <w:p w:rsidR="000B5AB2" w:rsidRDefault="000B5AB2">
      <w:pPr>
        <w:rPr>
          <w:rFonts w:asciiTheme="minorHAnsi" w:hAnsiTheme="minorHAnsi"/>
          <w:sz w:val="24"/>
        </w:rPr>
      </w:pPr>
      <w:r w:rsidRPr="000B5AB2">
        <w:rPr>
          <w:rFonts w:asciiTheme="minorHAnsi" w:hAnsiTheme="minorHAnsi"/>
          <w:b/>
          <w:sz w:val="24"/>
        </w:rPr>
        <w:t>Other possibilities:</w:t>
      </w:r>
      <w:r>
        <w:rPr>
          <w:rFonts w:asciiTheme="minorHAnsi" w:hAnsiTheme="minorHAnsi"/>
          <w:sz w:val="24"/>
        </w:rPr>
        <w:t xml:space="preserve"> Outline and explain two ways childhood has been affected by changes in gender roles. [10]</w:t>
      </w:r>
    </w:p>
    <w:p w:rsidR="000B5AB2" w:rsidRDefault="000B5AB2">
      <w:pPr>
        <w:rPr>
          <w:rFonts w:asciiTheme="minorHAnsi" w:hAnsiTheme="minorHAnsi"/>
          <w:sz w:val="24"/>
        </w:rPr>
      </w:pPr>
    </w:p>
    <w:p w:rsidR="000B5AB2" w:rsidRPr="000B5AB2" w:rsidRDefault="000B5AB2">
      <w:pPr>
        <w:rPr>
          <w:rFonts w:asciiTheme="minorHAnsi" w:hAnsiTheme="minorHAnsi"/>
          <w:sz w:val="24"/>
        </w:rPr>
      </w:pPr>
      <w:r>
        <w:rPr>
          <w:rFonts w:asciiTheme="minorHAnsi" w:hAnsiTheme="minorHAnsi"/>
          <w:sz w:val="24"/>
        </w:rPr>
        <w:t>Outline and explain two ways it could be argued that the distinction between childhood and adulthood is blurring [10]</w:t>
      </w:r>
    </w:p>
    <w:sectPr w:rsidR="000B5AB2" w:rsidRPr="000B5AB2" w:rsidSect="000B5A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20747"/>
    <w:multiLevelType w:val="hybridMultilevel"/>
    <w:tmpl w:val="DEDEAC3A"/>
    <w:lvl w:ilvl="0" w:tplc="08090011">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DA4FAB"/>
    <w:multiLevelType w:val="hybridMultilevel"/>
    <w:tmpl w:val="F9A6024E"/>
    <w:lvl w:ilvl="0" w:tplc="E66C78EC">
      <w:start w:val="1"/>
      <w:numFmt w:val="decimal"/>
      <w:lvlText w:val="%1)"/>
      <w:lvlJc w:val="left"/>
      <w:pPr>
        <w:ind w:left="720" w:hanging="360"/>
      </w:pPr>
      <w:rPr>
        <w:rFonts w:asciiTheme="minorHAnsi" w:eastAsia="Times New Roman"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B2"/>
    <w:rsid w:val="000B5AB2"/>
    <w:rsid w:val="009C0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B63A7-685D-4022-B0AB-89BEEBC6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AB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AB2"/>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uiPriority w:val="39"/>
    <w:rsid w:val="000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8C226E94</Template>
  <TotalTime>5</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dcterms:created xsi:type="dcterms:W3CDTF">2017-12-07T08:18:00Z</dcterms:created>
  <dcterms:modified xsi:type="dcterms:W3CDTF">2017-12-07T08:23:00Z</dcterms:modified>
</cp:coreProperties>
</file>