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3B" w:rsidRPr="00C07C3B" w:rsidRDefault="00C07C3B" w:rsidP="00C07C3B">
      <w:pPr>
        <w:jc w:val="center"/>
        <w:rPr>
          <w:b/>
          <w:sz w:val="28"/>
          <w:u w:val="single"/>
        </w:rPr>
      </w:pPr>
      <w:r w:rsidRPr="00C07C3B">
        <w:rPr>
          <w:b/>
          <w:sz w:val="28"/>
          <w:u w:val="single"/>
        </w:rPr>
        <w:t xml:space="preserve">Homework Advertising (Representation) </w:t>
      </w:r>
    </w:p>
    <w:p w:rsidR="00ED1E6A" w:rsidRDefault="008F2D6C">
      <w:r>
        <w:t>Fill in the blank spaces with the correct words from the following 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F2D6C" w:rsidTr="008F2D6C">
        <w:tc>
          <w:tcPr>
            <w:tcW w:w="2254" w:type="dxa"/>
          </w:tcPr>
          <w:p w:rsidR="00C07C3B" w:rsidRDefault="008F2D6C" w:rsidP="00C07C3B">
            <w:pPr>
              <w:jc w:val="center"/>
            </w:pPr>
            <w:r>
              <w:t>Aimed</w:t>
            </w:r>
          </w:p>
        </w:tc>
        <w:tc>
          <w:tcPr>
            <w:tcW w:w="2254" w:type="dxa"/>
          </w:tcPr>
          <w:p w:rsidR="008F2D6C" w:rsidRDefault="008F2D6C" w:rsidP="008F2D6C">
            <w:pPr>
              <w:jc w:val="center"/>
            </w:pPr>
            <w:r>
              <w:t>Alienated</w:t>
            </w:r>
          </w:p>
        </w:tc>
        <w:tc>
          <w:tcPr>
            <w:tcW w:w="2254" w:type="dxa"/>
          </w:tcPr>
          <w:p w:rsidR="008F2D6C" w:rsidRDefault="008F2D6C" w:rsidP="008F2D6C">
            <w:pPr>
              <w:jc w:val="center"/>
            </w:pPr>
            <w:r>
              <w:t>Attract</w:t>
            </w:r>
          </w:p>
        </w:tc>
        <w:tc>
          <w:tcPr>
            <w:tcW w:w="2254" w:type="dxa"/>
          </w:tcPr>
          <w:p w:rsidR="008F2D6C" w:rsidRDefault="008F2D6C" w:rsidP="008F2D6C">
            <w:pPr>
              <w:jc w:val="center"/>
            </w:pPr>
            <w:r>
              <w:t>Campaign</w:t>
            </w:r>
          </w:p>
        </w:tc>
      </w:tr>
      <w:tr w:rsidR="008F2D6C" w:rsidTr="008F2D6C">
        <w:tc>
          <w:tcPr>
            <w:tcW w:w="2254" w:type="dxa"/>
          </w:tcPr>
          <w:p w:rsidR="008F2D6C" w:rsidRDefault="008F2D6C" w:rsidP="008F2D6C">
            <w:pPr>
              <w:jc w:val="center"/>
            </w:pPr>
            <w:r>
              <w:t>Common</w:t>
            </w:r>
          </w:p>
        </w:tc>
        <w:tc>
          <w:tcPr>
            <w:tcW w:w="2254" w:type="dxa"/>
          </w:tcPr>
          <w:p w:rsidR="008F2D6C" w:rsidRDefault="008F2D6C" w:rsidP="008F2D6C">
            <w:pPr>
              <w:jc w:val="center"/>
            </w:pPr>
            <w:r>
              <w:t xml:space="preserve">Criticism </w:t>
            </w:r>
          </w:p>
        </w:tc>
        <w:tc>
          <w:tcPr>
            <w:tcW w:w="2254" w:type="dxa"/>
          </w:tcPr>
          <w:p w:rsidR="008F2D6C" w:rsidRDefault="008F2D6C" w:rsidP="008F2D6C">
            <w:pPr>
              <w:jc w:val="center"/>
            </w:pPr>
            <w:r>
              <w:t xml:space="preserve">Demonstrated </w:t>
            </w:r>
          </w:p>
        </w:tc>
        <w:tc>
          <w:tcPr>
            <w:tcW w:w="2254" w:type="dxa"/>
          </w:tcPr>
          <w:p w:rsidR="008F2D6C" w:rsidRDefault="008F2D6C" w:rsidP="008F2D6C">
            <w:pPr>
              <w:jc w:val="center"/>
            </w:pPr>
            <w:r>
              <w:t xml:space="preserve">Ethnically </w:t>
            </w:r>
          </w:p>
        </w:tc>
      </w:tr>
      <w:tr w:rsidR="008F2D6C" w:rsidTr="008F2D6C">
        <w:tc>
          <w:tcPr>
            <w:tcW w:w="2254" w:type="dxa"/>
          </w:tcPr>
          <w:p w:rsidR="008F2D6C" w:rsidRDefault="008F2D6C" w:rsidP="008F2D6C">
            <w:pPr>
              <w:jc w:val="center"/>
            </w:pPr>
            <w:r>
              <w:t xml:space="preserve">Heavily </w:t>
            </w:r>
          </w:p>
        </w:tc>
        <w:tc>
          <w:tcPr>
            <w:tcW w:w="2254" w:type="dxa"/>
          </w:tcPr>
          <w:p w:rsidR="008F2D6C" w:rsidRDefault="008F2D6C" w:rsidP="008F2D6C">
            <w:pPr>
              <w:jc w:val="center"/>
            </w:pPr>
            <w:r>
              <w:t xml:space="preserve">Historical </w:t>
            </w:r>
          </w:p>
        </w:tc>
        <w:tc>
          <w:tcPr>
            <w:tcW w:w="2254" w:type="dxa"/>
          </w:tcPr>
          <w:p w:rsidR="008F2D6C" w:rsidRDefault="008F2D6C" w:rsidP="008F2D6C">
            <w:pPr>
              <w:jc w:val="center"/>
            </w:pPr>
            <w:r>
              <w:t xml:space="preserve">Plays </w:t>
            </w:r>
          </w:p>
        </w:tc>
        <w:tc>
          <w:tcPr>
            <w:tcW w:w="2254" w:type="dxa"/>
          </w:tcPr>
          <w:p w:rsidR="008F2D6C" w:rsidRDefault="008F2D6C" w:rsidP="008F2D6C">
            <w:pPr>
              <w:jc w:val="center"/>
            </w:pPr>
            <w:r>
              <w:t>Quality Street</w:t>
            </w:r>
          </w:p>
        </w:tc>
      </w:tr>
      <w:tr w:rsidR="008F2D6C" w:rsidTr="008F2D6C">
        <w:tc>
          <w:tcPr>
            <w:tcW w:w="2254" w:type="dxa"/>
          </w:tcPr>
          <w:p w:rsidR="008F2D6C" w:rsidRDefault="008F2D6C" w:rsidP="008F2D6C">
            <w:pPr>
              <w:jc w:val="center"/>
            </w:pPr>
            <w:r>
              <w:t xml:space="preserve">Racial </w:t>
            </w:r>
          </w:p>
        </w:tc>
        <w:tc>
          <w:tcPr>
            <w:tcW w:w="2254" w:type="dxa"/>
          </w:tcPr>
          <w:p w:rsidR="008F2D6C" w:rsidRDefault="008F2D6C" w:rsidP="008F2D6C">
            <w:pPr>
              <w:jc w:val="center"/>
            </w:pPr>
            <w:r>
              <w:t xml:space="preserve">Roles </w:t>
            </w:r>
          </w:p>
        </w:tc>
        <w:tc>
          <w:tcPr>
            <w:tcW w:w="2254" w:type="dxa"/>
          </w:tcPr>
          <w:p w:rsidR="008F2D6C" w:rsidRDefault="008F2D6C" w:rsidP="008F2D6C">
            <w:pPr>
              <w:jc w:val="center"/>
            </w:pPr>
            <w:r>
              <w:t xml:space="preserve">Series </w:t>
            </w:r>
          </w:p>
        </w:tc>
        <w:tc>
          <w:tcPr>
            <w:tcW w:w="2254" w:type="dxa"/>
          </w:tcPr>
          <w:p w:rsidR="008F2D6C" w:rsidRDefault="008F2D6C" w:rsidP="008F2D6C">
            <w:pPr>
              <w:jc w:val="center"/>
            </w:pPr>
            <w:r>
              <w:t xml:space="preserve">Shelf life </w:t>
            </w:r>
          </w:p>
        </w:tc>
      </w:tr>
      <w:tr w:rsidR="008F2D6C" w:rsidTr="008F2D6C">
        <w:tc>
          <w:tcPr>
            <w:tcW w:w="2254" w:type="dxa"/>
          </w:tcPr>
          <w:p w:rsidR="008F2D6C" w:rsidRDefault="008F2D6C" w:rsidP="008F2D6C">
            <w:pPr>
              <w:jc w:val="center"/>
            </w:pPr>
            <w:r>
              <w:t xml:space="preserve">Targeting </w:t>
            </w:r>
          </w:p>
        </w:tc>
        <w:tc>
          <w:tcPr>
            <w:tcW w:w="2254" w:type="dxa"/>
          </w:tcPr>
          <w:p w:rsidR="008F2D6C" w:rsidRDefault="008F2D6C" w:rsidP="008F2D6C">
            <w:pPr>
              <w:jc w:val="center"/>
            </w:pPr>
            <w:r>
              <w:t>This Girl Can</w:t>
            </w:r>
          </w:p>
        </w:tc>
        <w:tc>
          <w:tcPr>
            <w:tcW w:w="2254" w:type="dxa"/>
          </w:tcPr>
          <w:p w:rsidR="008F2D6C" w:rsidRDefault="008F2D6C" w:rsidP="008F2D6C">
            <w:pPr>
              <w:jc w:val="center"/>
            </w:pPr>
            <w:r>
              <w:t xml:space="preserve">Value </w:t>
            </w:r>
          </w:p>
        </w:tc>
        <w:tc>
          <w:tcPr>
            <w:tcW w:w="2254" w:type="dxa"/>
          </w:tcPr>
          <w:p w:rsidR="008F2D6C" w:rsidRDefault="008F2D6C" w:rsidP="008F2D6C">
            <w:pPr>
              <w:jc w:val="center"/>
            </w:pPr>
            <w:r>
              <w:t>Wed</w:t>
            </w:r>
          </w:p>
        </w:tc>
      </w:tr>
    </w:tbl>
    <w:p w:rsidR="008F2D6C" w:rsidRDefault="008F2D6C"/>
    <w:p w:rsidR="00C07C3B" w:rsidRDefault="00C07C3B"/>
    <w:p w:rsidR="00C07C3B" w:rsidRDefault="00C07C3B"/>
    <w:p w:rsidR="008F2D6C" w:rsidRPr="00C07C3B" w:rsidRDefault="008F2D6C" w:rsidP="008F2D6C">
      <w:pPr>
        <w:pStyle w:val="ListParagraph"/>
        <w:numPr>
          <w:ilvl w:val="0"/>
          <w:numId w:val="1"/>
        </w:numPr>
        <w:rPr>
          <w:sz w:val="24"/>
        </w:rPr>
      </w:pPr>
      <w:r w:rsidRPr="00C07C3B">
        <w:rPr>
          <w:sz w:val="24"/>
        </w:rPr>
        <w:t xml:space="preserve">Gender is _________________ represented in both set products for the exam. In the Quality Street advert, gender _______________ are _______________ and represented to show the _______________ placed on the roles of men and women in 1950s society. This is a good way of including the _________________ context in the exam. </w:t>
      </w:r>
    </w:p>
    <w:p w:rsidR="00C07C3B" w:rsidRPr="00C07C3B" w:rsidRDefault="00C07C3B" w:rsidP="00C07C3B">
      <w:pPr>
        <w:pStyle w:val="ListParagraph"/>
        <w:rPr>
          <w:sz w:val="24"/>
        </w:rPr>
      </w:pPr>
    </w:p>
    <w:p w:rsidR="00C07C3B" w:rsidRPr="00C07C3B" w:rsidRDefault="00C07C3B" w:rsidP="00C07C3B">
      <w:pPr>
        <w:pStyle w:val="ListParagraph"/>
        <w:rPr>
          <w:sz w:val="24"/>
        </w:rPr>
      </w:pPr>
    </w:p>
    <w:p w:rsidR="008F2D6C" w:rsidRPr="00C07C3B" w:rsidRDefault="008F2D6C" w:rsidP="008F2D6C">
      <w:pPr>
        <w:pStyle w:val="ListParagraph"/>
        <w:numPr>
          <w:ilvl w:val="0"/>
          <w:numId w:val="1"/>
        </w:numPr>
        <w:rPr>
          <w:sz w:val="24"/>
        </w:rPr>
      </w:pPr>
      <w:r w:rsidRPr="00C07C3B">
        <w:rPr>
          <w:sz w:val="24"/>
        </w:rPr>
        <w:t xml:space="preserve">Age also _______________ a significant role in the representation found in the two adverts. __________________ shows two women in their mid-to-late-twenties. This was considered to be the prime age for women to _________________ in those times. In the advert for _______________, the woman is in her mid-thirties, indicating that Sport England places no _________________ on getting fit. </w:t>
      </w:r>
    </w:p>
    <w:p w:rsidR="00C07C3B" w:rsidRPr="00C07C3B" w:rsidRDefault="00C07C3B" w:rsidP="00C07C3B">
      <w:pPr>
        <w:pStyle w:val="ListParagraph"/>
        <w:rPr>
          <w:sz w:val="24"/>
        </w:rPr>
      </w:pPr>
    </w:p>
    <w:p w:rsidR="00C07C3B" w:rsidRPr="00C07C3B" w:rsidRDefault="00C07C3B" w:rsidP="00C07C3B">
      <w:pPr>
        <w:pStyle w:val="ListParagraph"/>
        <w:rPr>
          <w:sz w:val="24"/>
        </w:rPr>
      </w:pPr>
    </w:p>
    <w:p w:rsidR="008F2D6C" w:rsidRPr="00C07C3B" w:rsidRDefault="008F2D6C" w:rsidP="008F2D6C">
      <w:pPr>
        <w:pStyle w:val="ListParagraph"/>
        <w:numPr>
          <w:ilvl w:val="0"/>
          <w:numId w:val="1"/>
        </w:numPr>
        <w:rPr>
          <w:sz w:val="24"/>
        </w:rPr>
      </w:pPr>
      <w:r w:rsidRPr="00C07C3B">
        <w:rPr>
          <w:sz w:val="24"/>
        </w:rPr>
        <w:t>Social class is a ___________________ form of representation in advertising because the class being presented is more likely to ____________________ people from that same social class. Therefore, it would be counterproductive to have an advert for a product ___________________ at middle-class women featuring someone from high society. This would make middle-class women feel ___________________ from the product; this approach is called audience ___________________.</w:t>
      </w:r>
    </w:p>
    <w:p w:rsidR="00C07C3B" w:rsidRPr="00C07C3B" w:rsidRDefault="00C07C3B" w:rsidP="00C07C3B">
      <w:pPr>
        <w:pStyle w:val="ListParagraph"/>
        <w:rPr>
          <w:sz w:val="24"/>
        </w:rPr>
      </w:pPr>
    </w:p>
    <w:p w:rsidR="00C07C3B" w:rsidRPr="00C07C3B" w:rsidRDefault="00C07C3B" w:rsidP="00C07C3B">
      <w:pPr>
        <w:pStyle w:val="ListParagraph"/>
        <w:rPr>
          <w:sz w:val="24"/>
        </w:rPr>
      </w:pPr>
    </w:p>
    <w:p w:rsidR="008F2D6C" w:rsidRPr="00C07C3B" w:rsidRDefault="008F2D6C" w:rsidP="008F2D6C">
      <w:pPr>
        <w:pStyle w:val="ListParagraph"/>
        <w:numPr>
          <w:ilvl w:val="0"/>
          <w:numId w:val="1"/>
        </w:numPr>
        <w:rPr>
          <w:sz w:val="24"/>
        </w:rPr>
      </w:pPr>
      <w:r w:rsidRPr="00C07C3B">
        <w:rPr>
          <w:sz w:val="24"/>
        </w:rPr>
        <w:t xml:space="preserve">Although both adverts are not very ____________________ diverse, questioning the degree of ____________________ representation in these adverts is still relevant. The Quality Street brand was established long before the human rights movement, so little value was placed on people </w:t>
      </w:r>
      <w:r w:rsidR="00C07C3B" w:rsidRPr="00C07C3B">
        <w:rPr>
          <w:sz w:val="24"/>
        </w:rPr>
        <w:t xml:space="preserve">who were not white. ____________________ can be directed towards the This Girl Can advert for not featuring non-white women. However, this advert is only one out of a ________________________ of adverts in a large-scale _______________________ which, when seen together, are very diverse in terms of age, gender and ethnicity.  </w:t>
      </w:r>
      <w:bookmarkStart w:id="0" w:name="_GoBack"/>
      <w:bookmarkEnd w:id="0"/>
    </w:p>
    <w:sectPr w:rsidR="008F2D6C" w:rsidRPr="00C07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22813"/>
    <w:multiLevelType w:val="hybridMultilevel"/>
    <w:tmpl w:val="8D880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6C"/>
    <w:rsid w:val="008F2D6C"/>
    <w:rsid w:val="00C07C3B"/>
    <w:rsid w:val="00E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AF20E"/>
  <w15:chartTrackingRefBased/>
  <w15:docId w15:val="{9269A477-690A-40F5-AB17-67787C22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9DBC0A6F</Template>
  <TotalTime>16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Matt Toogood</cp:lastModifiedBy>
  <cp:revision>1</cp:revision>
  <dcterms:created xsi:type="dcterms:W3CDTF">2018-09-19T10:41:00Z</dcterms:created>
  <dcterms:modified xsi:type="dcterms:W3CDTF">2018-09-19T10:57:00Z</dcterms:modified>
</cp:coreProperties>
</file>