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FB8" w:rsidRPr="00B36BF4" w:rsidRDefault="00C74754" w:rsidP="00242FB8">
      <w:pPr>
        <w:rPr>
          <w:b/>
          <w:sz w:val="28"/>
          <w:szCs w:val="28"/>
        </w:rPr>
      </w:pPr>
      <w:r>
        <w:rPr>
          <w:noProof/>
          <w:lang w:eastAsia="en-GB"/>
        </w:rPr>
        <mc:AlternateContent>
          <mc:Choice Requires="wps">
            <w:drawing>
              <wp:anchor distT="0" distB="0" distL="114300" distR="114300" simplePos="0" relativeHeight="251659264" behindDoc="0" locked="0" layoutInCell="1" allowOverlap="1" wp14:anchorId="27B9A8B3" wp14:editId="18899792">
                <wp:simplePos x="0" y="0"/>
                <wp:positionH relativeFrom="column">
                  <wp:posOffset>6601814</wp:posOffset>
                </wp:positionH>
                <wp:positionV relativeFrom="paragraph">
                  <wp:posOffset>-567602</wp:posOffset>
                </wp:positionV>
                <wp:extent cx="2360428" cy="1403985"/>
                <wp:effectExtent l="0" t="0" r="190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428" cy="1403985"/>
                        </a:xfrm>
                        <a:prstGeom prst="rect">
                          <a:avLst/>
                        </a:prstGeom>
                        <a:solidFill>
                          <a:srgbClr val="FFFFFF"/>
                        </a:solidFill>
                        <a:ln w="9525">
                          <a:noFill/>
                          <a:miter lim="800000"/>
                          <a:headEnd/>
                          <a:tailEnd/>
                        </a:ln>
                      </wps:spPr>
                      <wps:txbx>
                        <w:txbxContent>
                          <w:p w:rsidR="003B6E53" w:rsidRDefault="003B6E53">
                            <w:r>
                              <w:rPr>
                                <w:b/>
                                <w:bCs/>
                                <w:noProof/>
                                <w:color w:val="0000FF"/>
                                <w:kern w:val="36"/>
                                <w:sz w:val="48"/>
                                <w:szCs w:val="48"/>
                                <w:lang w:eastAsia="en-GB"/>
                              </w:rPr>
                              <w:drawing>
                                <wp:inline distT="0" distB="0" distL="0" distR="0" wp14:anchorId="6E32C354" wp14:editId="2C7C6FE4">
                                  <wp:extent cx="2009775" cy="414655"/>
                                  <wp:effectExtent l="0" t="0" r="9525" b="4445"/>
                                  <wp:docPr id="1" name="Picture 1" descr="WaterAid logo home lin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HeaderLogoImage" descr="WaterAid logo home link">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41465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B9A8B3" id="_x0000_t202" coordsize="21600,21600" o:spt="202" path="m,l,21600r21600,l21600,xe">
                <v:stroke joinstyle="miter"/>
                <v:path gradientshapeok="t" o:connecttype="rect"/>
              </v:shapetype>
              <v:shape id="Text Box 2" o:spid="_x0000_s1026" type="#_x0000_t202" style="position:absolute;margin-left:519.85pt;margin-top:-44.7pt;width:185.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64IwIAAB4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" stroked="f">
                <v:textbox style="mso-fit-shape-to-text:t">
                  <w:txbxContent>
                    <w:p w:rsidR="003B6E53" w:rsidRDefault="003B6E53">
                      <w:r>
                        <w:rPr>
                          <w:b/>
                          <w:bCs/>
                          <w:noProof/>
                          <w:color w:val="0000FF"/>
                          <w:kern w:val="36"/>
                          <w:sz w:val="48"/>
                          <w:szCs w:val="48"/>
                          <w:lang w:eastAsia="en-GB"/>
                        </w:rPr>
                        <w:drawing>
                          <wp:inline distT="0" distB="0" distL="0" distR="0" wp14:anchorId="6E32C354" wp14:editId="2C7C6FE4">
                            <wp:extent cx="2009775" cy="414655"/>
                            <wp:effectExtent l="0" t="0" r="9525" b="4445"/>
                            <wp:docPr id="1" name="Picture 1" descr="WaterAid logo home lin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HeaderLogoImage" descr="WaterAid logo home link">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414655"/>
                                    </a:xfrm>
                                    <a:prstGeom prst="rect">
                                      <a:avLst/>
                                    </a:prstGeom>
                                    <a:noFill/>
                                    <a:ln>
                                      <a:noFill/>
                                    </a:ln>
                                  </pic:spPr>
                                </pic:pic>
                              </a:graphicData>
                            </a:graphic>
                          </wp:inline>
                        </w:drawing>
                      </w:r>
                    </w:p>
                  </w:txbxContent>
                </v:textbox>
              </v:shape>
            </w:pict>
          </mc:Fallback>
        </mc:AlternateContent>
      </w:r>
      <w:r w:rsidR="00242FB8" w:rsidRPr="00B36BF4">
        <w:rPr>
          <w:b/>
          <w:sz w:val="28"/>
          <w:szCs w:val="28"/>
        </w:rPr>
        <w:t>WATER AID (2016) – AUDIENCE</w:t>
      </w:r>
    </w:p>
    <w:p w:rsidR="00242FB8" w:rsidRPr="00420325" w:rsidRDefault="00242FB8" w:rsidP="00242FB8">
      <w:r>
        <w:t>Who is the main target audience for this charity advert? This is an interesting question which divides opinion amongst critics and academics. Some feel that charity ads are deliberately constructed to play on the liberal guilt felt by western audiences – e.g. images of the developing world allow audiences to consider their own privileged circumstances, thus encouraging them to donate money to those less fortunate.</w:t>
      </w:r>
      <w:r w:rsidR="00CE6DEB">
        <w:t xml:space="preserve"> (Read </w:t>
      </w:r>
      <w:proofErr w:type="gramStart"/>
      <w:r w:rsidR="00CE6DEB">
        <w:rPr>
          <w:i/>
        </w:rPr>
        <w:t>The</w:t>
      </w:r>
      <w:proofErr w:type="gramEnd"/>
      <w:r w:rsidR="00CE6DEB">
        <w:rPr>
          <w:i/>
        </w:rPr>
        <w:t xml:space="preserve"> Guardian </w:t>
      </w:r>
      <w:r w:rsidR="00CE6DEB">
        <w:t xml:space="preserve">article </w:t>
      </w:r>
      <w:hyperlink r:id="rId8" w:history="1">
        <w:r w:rsidR="00CE6DEB" w:rsidRPr="00CE6DEB">
          <w:rPr>
            <w:rStyle w:val="Hyperlink"/>
            <w:i/>
          </w:rPr>
          <w:t>Emotive Charity Advertising – Has the Public Had Enough?</w:t>
        </w:r>
      </w:hyperlink>
      <w:r w:rsidR="00CE6DEB">
        <w:rPr>
          <w:i/>
        </w:rPr>
        <w:t>)</w:t>
      </w:r>
      <w:r w:rsidR="00420325">
        <w:t>).  For some audiences</w:t>
      </w:r>
      <w:r w:rsidR="00CE6DEB">
        <w:t>,</w:t>
      </w:r>
      <w:r w:rsidR="00420325">
        <w:t xml:space="preserve"> </w:t>
      </w:r>
      <w:r w:rsidR="00420325">
        <w:rPr>
          <w:i/>
        </w:rPr>
        <w:t xml:space="preserve">Water Aid </w:t>
      </w:r>
      <w:r w:rsidR="00420325">
        <w:t>act</w:t>
      </w:r>
      <w:r w:rsidR="005271E9">
        <w:t>s</w:t>
      </w:r>
      <w:r w:rsidR="00420325">
        <w:t xml:space="preserve"> as an </w:t>
      </w:r>
      <w:r w:rsidR="00420325">
        <w:rPr>
          <w:b/>
        </w:rPr>
        <w:t>opinion leader</w:t>
      </w:r>
      <w:r w:rsidR="00420325">
        <w:t xml:space="preserve"> for the target audience who would assume that the information and statistics used in the advert (</w:t>
      </w:r>
      <w:r w:rsidR="00CE6DEB">
        <w:t xml:space="preserve">e.g. </w:t>
      </w:r>
      <w:r w:rsidR="00420325">
        <w:t xml:space="preserve">“650 million people…”) are true. </w:t>
      </w:r>
    </w:p>
    <w:p w:rsidR="00DB0F9D" w:rsidRPr="00BA7DE8" w:rsidRDefault="00242FB8" w:rsidP="00242FB8">
      <w:r>
        <w:t xml:space="preserve">In September 2017, </w:t>
      </w:r>
      <w:r w:rsidRPr="00242FB8">
        <w:rPr>
          <w:i/>
        </w:rPr>
        <w:t>Rain for Good</w:t>
      </w:r>
      <w:r w:rsidR="00CE6DEB">
        <w:t xml:space="preserve"> had been viewed over </w:t>
      </w:r>
      <w:r w:rsidR="00CE6DEB">
        <w:softHyphen/>
        <w:t>60</w:t>
      </w:r>
      <w:r>
        <w:t>,000 times</w:t>
      </w:r>
      <w:r w:rsidR="00DB0F9D">
        <w:t xml:space="preserve"> on </w:t>
      </w:r>
      <w:r w:rsidR="00DB0F9D">
        <w:rPr>
          <w:i/>
        </w:rPr>
        <w:t xml:space="preserve">Water Aid’s </w:t>
      </w:r>
      <w:r w:rsidR="00DB0F9D">
        <w:t xml:space="preserve">YouTube channel. The core audience for the YouTube platform is </w:t>
      </w:r>
      <w:r w:rsidR="00C74754">
        <w:t>25-44</w:t>
      </w:r>
      <w:r w:rsidR="00DB0F9D">
        <w:t xml:space="preserve"> (</w:t>
      </w:r>
      <w:r w:rsidR="00C74754">
        <w:t xml:space="preserve">source - </w:t>
      </w:r>
      <w:hyperlink r:id="rId9" w:history="1">
        <w:r w:rsidR="00C74754" w:rsidRPr="00C74754">
          <w:rPr>
            <w:rStyle w:val="Hyperlink"/>
          </w:rPr>
          <w:t>digiday.com</w:t>
        </w:r>
      </w:hyperlink>
      <w:r w:rsidR="00DB0F9D">
        <w:t xml:space="preserve">) – an audience for whom technology has </w:t>
      </w:r>
      <w:r w:rsidR="00B6230F">
        <w:t>played</w:t>
      </w:r>
      <w:r w:rsidR="00DB0F9D">
        <w:t xml:space="preserve"> an important part </w:t>
      </w:r>
      <w:r w:rsidR="00B6230F">
        <w:t>in</w:t>
      </w:r>
      <w:r w:rsidR="00DB0F9D">
        <w:t xml:space="preserve"> their </w:t>
      </w:r>
      <w:r w:rsidR="00B6230F">
        <w:t xml:space="preserve">working and social </w:t>
      </w:r>
      <w:r w:rsidR="00DB0F9D">
        <w:t xml:space="preserve">lives. </w:t>
      </w:r>
      <w:r w:rsidR="00420325">
        <w:t>Adv</w:t>
      </w:r>
      <w:r w:rsidR="00BA7DE8">
        <w:t xml:space="preserve">ertisers see YouTube as an important </w:t>
      </w:r>
      <w:r w:rsidR="00BA7DE8">
        <w:rPr>
          <w:b/>
        </w:rPr>
        <w:t>exhibition window</w:t>
      </w:r>
      <w:r w:rsidR="00BA7DE8">
        <w:t xml:space="preserve"> that attracts younger audiences who obtain much of their information online.  </w:t>
      </w:r>
    </w:p>
    <w:p w:rsidR="00B425E5" w:rsidRPr="00B425E5" w:rsidRDefault="00B425E5" w:rsidP="00242FB8">
      <w:pPr>
        <w:rPr>
          <w:b/>
          <w:sz w:val="28"/>
          <w:szCs w:val="28"/>
        </w:rPr>
      </w:pPr>
      <w:r w:rsidRPr="00B425E5">
        <w:rPr>
          <w:b/>
          <w:sz w:val="28"/>
          <w:szCs w:val="28"/>
        </w:rPr>
        <w:t xml:space="preserve">TASK </w:t>
      </w:r>
      <w:r w:rsidR="005C208D">
        <w:rPr>
          <w:b/>
          <w:sz w:val="28"/>
          <w:szCs w:val="28"/>
        </w:rPr>
        <w:t>1</w:t>
      </w:r>
    </w:p>
    <w:p w:rsidR="00B425E5" w:rsidRPr="005271E9" w:rsidRDefault="00DB0F9D" w:rsidP="00242FB8">
      <w:pPr>
        <w:rPr>
          <w:b/>
        </w:rPr>
      </w:pPr>
      <w:r w:rsidRPr="005271E9">
        <w:rPr>
          <w:b/>
        </w:rPr>
        <w:t>Watch the advert again and note down how the advert has been const</w:t>
      </w:r>
      <w:r w:rsidR="00B6230F" w:rsidRPr="005271E9">
        <w:rPr>
          <w:b/>
        </w:rPr>
        <w:t>ructed to appeal to a technologically</w:t>
      </w:r>
      <w:r w:rsidRPr="005271E9">
        <w:rPr>
          <w:b/>
        </w:rPr>
        <w:t xml:space="preserve"> literate audience. </w:t>
      </w:r>
    </w:p>
    <w:p w:rsidR="00B425E5" w:rsidRPr="005271E9" w:rsidRDefault="00B425E5" w:rsidP="00242FB8">
      <w:pPr>
        <w:rPr>
          <w:b/>
        </w:rPr>
      </w:pPr>
    </w:p>
    <w:p w:rsidR="00B6230F" w:rsidRPr="005271E9" w:rsidRDefault="00B6230F" w:rsidP="00242FB8">
      <w:pPr>
        <w:rPr>
          <w:b/>
        </w:rPr>
      </w:pPr>
    </w:p>
    <w:p w:rsidR="00BA7DE8" w:rsidRPr="005271E9" w:rsidRDefault="00BA7DE8" w:rsidP="00242FB8">
      <w:pPr>
        <w:rPr>
          <w:b/>
        </w:rPr>
      </w:pPr>
    </w:p>
    <w:p w:rsidR="00B425E5" w:rsidRPr="005271E9" w:rsidRDefault="00DB0F9D" w:rsidP="00242FB8">
      <w:pPr>
        <w:rPr>
          <w:b/>
        </w:rPr>
      </w:pPr>
      <w:r w:rsidRPr="005271E9">
        <w:rPr>
          <w:b/>
        </w:rPr>
        <w:t xml:space="preserve">Think about the choice of soundtrack; which audiences may find this appealing and why? </w:t>
      </w:r>
    </w:p>
    <w:p w:rsidR="00B425E5" w:rsidRPr="005271E9" w:rsidRDefault="00B425E5" w:rsidP="00242FB8">
      <w:pPr>
        <w:rPr>
          <w:b/>
        </w:rPr>
      </w:pPr>
    </w:p>
    <w:p w:rsidR="00BA7DE8" w:rsidRPr="005271E9" w:rsidRDefault="00BA7DE8" w:rsidP="00242FB8">
      <w:pPr>
        <w:rPr>
          <w:b/>
        </w:rPr>
      </w:pPr>
    </w:p>
    <w:p w:rsidR="00BA7DE8" w:rsidRPr="005271E9" w:rsidRDefault="00BA7DE8" w:rsidP="00242FB8">
      <w:pPr>
        <w:rPr>
          <w:b/>
        </w:rPr>
      </w:pPr>
    </w:p>
    <w:p w:rsidR="00BA7DE8" w:rsidRPr="005271E9" w:rsidRDefault="00BA7DE8" w:rsidP="00242FB8">
      <w:pPr>
        <w:rPr>
          <w:b/>
        </w:rPr>
      </w:pPr>
      <w:r w:rsidRPr="005271E9">
        <w:rPr>
          <w:b/>
        </w:rPr>
        <w:t>Now consider the advert’s main protagonist. Which audiences may personally identify with this character?</w:t>
      </w:r>
    </w:p>
    <w:p w:rsidR="00BA7DE8" w:rsidRDefault="00BA7DE8" w:rsidP="00242FB8">
      <w:pPr>
        <w:rPr>
          <w:b/>
        </w:rPr>
      </w:pPr>
    </w:p>
    <w:p w:rsidR="006B6A15" w:rsidRPr="005271E9" w:rsidRDefault="006B6A15" w:rsidP="00242FB8">
      <w:pPr>
        <w:rPr>
          <w:b/>
        </w:rPr>
      </w:pPr>
    </w:p>
    <w:p w:rsidR="00DB0F9D" w:rsidRPr="005271E9" w:rsidRDefault="005C208D" w:rsidP="00242FB8">
      <w:pPr>
        <w:rPr>
          <w:b/>
        </w:rPr>
      </w:pPr>
      <w:r>
        <w:rPr>
          <w:b/>
        </w:rPr>
        <w:lastRenderedPageBreak/>
        <w:t xml:space="preserve">Complete the table below to identify the target audience </w:t>
      </w:r>
    </w:p>
    <w:tbl>
      <w:tblPr>
        <w:tblStyle w:val="TableGrid"/>
        <w:tblW w:w="14709" w:type="dxa"/>
        <w:tblLook w:val="04A0" w:firstRow="1" w:lastRow="0" w:firstColumn="1" w:lastColumn="0" w:noHBand="0" w:noVBand="1"/>
      </w:tblPr>
      <w:tblGrid>
        <w:gridCol w:w="1668"/>
        <w:gridCol w:w="2976"/>
        <w:gridCol w:w="2127"/>
        <w:gridCol w:w="7938"/>
      </w:tblGrid>
      <w:tr w:rsidR="00E33178" w:rsidRPr="005C208D" w:rsidTr="003A79D7">
        <w:tc>
          <w:tcPr>
            <w:tcW w:w="1668" w:type="dxa"/>
            <w:vMerge w:val="restart"/>
            <w:vAlign w:val="center"/>
          </w:tcPr>
          <w:p w:rsidR="00E33178" w:rsidRPr="005C208D" w:rsidRDefault="00E33178" w:rsidP="005C208D">
            <w:pPr>
              <w:rPr>
                <w:b/>
                <w:i/>
              </w:rPr>
            </w:pPr>
            <w:r w:rsidRPr="005C208D">
              <w:rPr>
                <w:b/>
              </w:rPr>
              <w:t>Demographics</w:t>
            </w:r>
          </w:p>
        </w:tc>
        <w:tc>
          <w:tcPr>
            <w:tcW w:w="2976" w:type="dxa"/>
            <w:vAlign w:val="center"/>
          </w:tcPr>
          <w:p w:rsidR="00E33178" w:rsidRPr="005C208D" w:rsidRDefault="00E33178" w:rsidP="00242FB8">
            <w:pPr>
              <w:rPr>
                <w:b/>
              </w:rPr>
            </w:pPr>
            <w:r w:rsidRPr="005C208D">
              <w:rPr>
                <w:b/>
              </w:rPr>
              <w:t>Category</w:t>
            </w:r>
          </w:p>
        </w:tc>
        <w:tc>
          <w:tcPr>
            <w:tcW w:w="2127" w:type="dxa"/>
            <w:vAlign w:val="center"/>
          </w:tcPr>
          <w:p w:rsidR="00E33178" w:rsidRPr="005C208D" w:rsidRDefault="00E33178" w:rsidP="00242FB8">
            <w:pPr>
              <w:rPr>
                <w:b/>
              </w:rPr>
            </w:pPr>
            <w:r w:rsidRPr="005C208D">
              <w:rPr>
                <w:b/>
              </w:rPr>
              <w:t>Answer</w:t>
            </w:r>
          </w:p>
        </w:tc>
        <w:tc>
          <w:tcPr>
            <w:tcW w:w="7938" w:type="dxa"/>
          </w:tcPr>
          <w:p w:rsidR="00E33178" w:rsidRPr="005C208D" w:rsidRDefault="00E33178" w:rsidP="003A79D7">
            <w:pPr>
              <w:rPr>
                <w:b/>
              </w:rPr>
            </w:pPr>
            <w:r w:rsidRPr="005C208D">
              <w:rPr>
                <w:b/>
              </w:rPr>
              <w:t>Examples from</w:t>
            </w:r>
            <w:r>
              <w:rPr>
                <w:b/>
              </w:rPr>
              <w:t xml:space="preserve"> the text, supporting you points. </w:t>
            </w:r>
          </w:p>
        </w:tc>
      </w:tr>
      <w:tr w:rsidR="00E33178" w:rsidRPr="005C208D" w:rsidTr="003A79D7">
        <w:tc>
          <w:tcPr>
            <w:tcW w:w="1668" w:type="dxa"/>
            <w:vMerge/>
            <w:vAlign w:val="center"/>
          </w:tcPr>
          <w:p w:rsidR="00E33178" w:rsidRPr="005C208D" w:rsidRDefault="00E33178" w:rsidP="005C208D">
            <w:pPr>
              <w:rPr>
                <w:b/>
              </w:rPr>
            </w:pPr>
          </w:p>
        </w:tc>
        <w:tc>
          <w:tcPr>
            <w:tcW w:w="2976" w:type="dxa"/>
            <w:vAlign w:val="bottom"/>
          </w:tcPr>
          <w:p w:rsidR="00E33178" w:rsidRDefault="00E33178" w:rsidP="005C208D">
            <w:pPr>
              <w:spacing w:line="360" w:lineRule="auto"/>
              <w:rPr>
                <w:b/>
              </w:rPr>
            </w:pPr>
            <w:r w:rsidRPr="005C208D">
              <w:rPr>
                <w:b/>
              </w:rPr>
              <w:t>Gender</w:t>
            </w:r>
          </w:p>
          <w:p w:rsidR="00E33178" w:rsidRPr="005C208D" w:rsidRDefault="00E33178" w:rsidP="005C208D">
            <w:pPr>
              <w:spacing w:line="360" w:lineRule="auto"/>
              <w:rPr>
                <w:b/>
              </w:rPr>
            </w:pPr>
          </w:p>
        </w:tc>
        <w:tc>
          <w:tcPr>
            <w:tcW w:w="2127" w:type="dxa"/>
            <w:vAlign w:val="bottom"/>
          </w:tcPr>
          <w:p w:rsidR="00E33178" w:rsidRPr="005C208D" w:rsidRDefault="00E33178" w:rsidP="005C208D">
            <w:pPr>
              <w:spacing w:line="360" w:lineRule="auto"/>
              <w:rPr>
                <w:b/>
              </w:rPr>
            </w:pPr>
          </w:p>
        </w:tc>
        <w:tc>
          <w:tcPr>
            <w:tcW w:w="7938" w:type="dxa"/>
            <w:vAlign w:val="bottom"/>
          </w:tcPr>
          <w:p w:rsidR="00E33178" w:rsidRPr="005C208D" w:rsidRDefault="00E33178" w:rsidP="005C208D">
            <w:pPr>
              <w:spacing w:line="360" w:lineRule="auto"/>
              <w:rPr>
                <w:b/>
                <w:i/>
              </w:rPr>
            </w:pPr>
          </w:p>
        </w:tc>
      </w:tr>
      <w:tr w:rsidR="00E33178" w:rsidRPr="005C208D" w:rsidTr="003A79D7">
        <w:tc>
          <w:tcPr>
            <w:tcW w:w="1668" w:type="dxa"/>
            <w:vMerge/>
          </w:tcPr>
          <w:p w:rsidR="00E33178" w:rsidRPr="005C208D" w:rsidRDefault="00E33178" w:rsidP="00242FB8">
            <w:pPr>
              <w:rPr>
                <w:b/>
                <w:i/>
              </w:rPr>
            </w:pPr>
          </w:p>
        </w:tc>
        <w:tc>
          <w:tcPr>
            <w:tcW w:w="2976" w:type="dxa"/>
            <w:vAlign w:val="bottom"/>
          </w:tcPr>
          <w:p w:rsidR="00E33178" w:rsidRDefault="00E33178" w:rsidP="005C208D">
            <w:pPr>
              <w:spacing w:line="360" w:lineRule="auto"/>
              <w:rPr>
                <w:b/>
              </w:rPr>
            </w:pPr>
            <w:r w:rsidRPr="005C208D">
              <w:rPr>
                <w:b/>
              </w:rPr>
              <w:t xml:space="preserve">Ethnicity </w:t>
            </w:r>
          </w:p>
          <w:p w:rsidR="00E33178" w:rsidRPr="005C208D" w:rsidRDefault="00E33178" w:rsidP="005C208D">
            <w:pPr>
              <w:spacing w:line="360" w:lineRule="auto"/>
              <w:rPr>
                <w:b/>
                <w:i/>
              </w:rPr>
            </w:pPr>
          </w:p>
        </w:tc>
        <w:tc>
          <w:tcPr>
            <w:tcW w:w="2127" w:type="dxa"/>
            <w:vAlign w:val="bottom"/>
          </w:tcPr>
          <w:p w:rsidR="00E33178" w:rsidRPr="005C208D" w:rsidRDefault="00E33178" w:rsidP="005C208D">
            <w:pPr>
              <w:spacing w:line="360" w:lineRule="auto"/>
              <w:rPr>
                <w:b/>
                <w:i/>
              </w:rPr>
            </w:pPr>
          </w:p>
        </w:tc>
        <w:tc>
          <w:tcPr>
            <w:tcW w:w="7938" w:type="dxa"/>
            <w:vAlign w:val="bottom"/>
          </w:tcPr>
          <w:p w:rsidR="00E33178" w:rsidRPr="005C208D" w:rsidRDefault="00E33178" w:rsidP="005C208D">
            <w:pPr>
              <w:spacing w:line="360" w:lineRule="auto"/>
              <w:rPr>
                <w:b/>
                <w:i/>
              </w:rPr>
            </w:pPr>
          </w:p>
        </w:tc>
      </w:tr>
      <w:tr w:rsidR="00E33178" w:rsidRPr="005C208D" w:rsidTr="003A79D7">
        <w:tc>
          <w:tcPr>
            <w:tcW w:w="1668" w:type="dxa"/>
            <w:vMerge/>
          </w:tcPr>
          <w:p w:rsidR="00E33178" w:rsidRPr="005C208D" w:rsidRDefault="00E33178" w:rsidP="00242FB8">
            <w:pPr>
              <w:rPr>
                <w:b/>
                <w:i/>
              </w:rPr>
            </w:pPr>
          </w:p>
        </w:tc>
        <w:tc>
          <w:tcPr>
            <w:tcW w:w="2976" w:type="dxa"/>
            <w:vAlign w:val="bottom"/>
          </w:tcPr>
          <w:p w:rsidR="00E33178" w:rsidRDefault="00E33178" w:rsidP="005C208D">
            <w:pPr>
              <w:spacing w:line="360" w:lineRule="auto"/>
              <w:rPr>
                <w:b/>
              </w:rPr>
            </w:pPr>
            <w:r w:rsidRPr="005C208D">
              <w:rPr>
                <w:b/>
              </w:rPr>
              <w:t xml:space="preserve">Age </w:t>
            </w:r>
          </w:p>
          <w:p w:rsidR="00E33178" w:rsidRPr="005C208D" w:rsidRDefault="00E33178" w:rsidP="005C208D">
            <w:pPr>
              <w:spacing w:line="360" w:lineRule="auto"/>
              <w:rPr>
                <w:b/>
                <w:i/>
              </w:rPr>
            </w:pPr>
          </w:p>
        </w:tc>
        <w:tc>
          <w:tcPr>
            <w:tcW w:w="2127" w:type="dxa"/>
            <w:vAlign w:val="bottom"/>
          </w:tcPr>
          <w:p w:rsidR="00E33178" w:rsidRPr="005C208D" w:rsidRDefault="00E33178" w:rsidP="005C208D">
            <w:pPr>
              <w:spacing w:line="360" w:lineRule="auto"/>
              <w:rPr>
                <w:b/>
                <w:i/>
              </w:rPr>
            </w:pPr>
          </w:p>
        </w:tc>
        <w:tc>
          <w:tcPr>
            <w:tcW w:w="7938" w:type="dxa"/>
            <w:vAlign w:val="bottom"/>
          </w:tcPr>
          <w:p w:rsidR="00E33178" w:rsidRPr="005C208D" w:rsidRDefault="00E33178" w:rsidP="005C208D">
            <w:pPr>
              <w:spacing w:line="360" w:lineRule="auto"/>
              <w:rPr>
                <w:b/>
                <w:i/>
              </w:rPr>
            </w:pPr>
          </w:p>
        </w:tc>
      </w:tr>
      <w:tr w:rsidR="00E33178" w:rsidRPr="005C208D" w:rsidTr="003A79D7">
        <w:tc>
          <w:tcPr>
            <w:tcW w:w="1668" w:type="dxa"/>
            <w:vMerge/>
          </w:tcPr>
          <w:p w:rsidR="00E33178" w:rsidRPr="005C208D" w:rsidRDefault="00E33178" w:rsidP="00242FB8">
            <w:pPr>
              <w:rPr>
                <w:b/>
                <w:i/>
              </w:rPr>
            </w:pPr>
          </w:p>
        </w:tc>
        <w:tc>
          <w:tcPr>
            <w:tcW w:w="2976" w:type="dxa"/>
            <w:vAlign w:val="bottom"/>
          </w:tcPr>
          <w:p w:rsidR="00E33178" w:rsidRDefault="00E33178" w:rsidP="005C208D">
            <w:pPr>
              <w:spacing w:line="360" w:lineRule="auto"/>
              <w:rPr>
                <w:b/>
              </w:rPr>
            </w:pPr>
            <w:r w:rsidRPr="005C208D">
              <w:rPr>
                <w:b/>
              </w:rPr>
              <w:t xml:space="preserve">Socio-economic segmentation </w:t>
            </w:r>
          </w:p>
          <w:p w:rsidR="00E33178" w:rsidRPr="005C208D" w:rsidRDefault="00E33178" w:rsidP="005C208D">
            <w:pPr>
              <w:spacing w:line="360" w:lineRule="auto"/>
              <w:rPr>
                <w:b/>
                <w:i/>
              </w:rPr>
            </w:pPr>
          </w:p>
        </w:tc>
        <w:tc>
          <w:tcPr>
            <w:tcW w:w="2127" w:type="dxa"/>
            <w:vAlign w:val="bottom"/>
          </w:tcPr>
          <w:p w:rsidR="00E33178" w:rsidRPr="005C208D" w:rsidRDefault="00E33178" w:rsidP="005C208D">
            <w:pPr>
              <w:spacing w:line="360" w:lineRule="auto"/>
              <w:rPr>
                <w:b/>
                <w:i/>
              </w:rPr>
            </w:pPr>
          </w:p>
        </w:tc>
        <w:tc>
          <w:tcPr>
            <w:tcW w:w="7938" w:type="dxa"/>
            <w:vAlign w:val="bottom"/>
          </w:tcPr>
          <w:p w:rsidR="00E33178" w:rsidRPr="005C208D" w:rsidRDefault="00E33178" w:rsidP="005C208D">
            <w:pPr>
              <w:spacing w:line="360" w:lineRule="auto"/>
              <w:rPr>
                <w:b/>
                <w:i/>
              </w:rPr>
            </w:pPr>
          </w:p>
        </w:tc>
      </w:tr>
      <w:tr w:rsidR="005C208D" w:rsidRPr="005C208D" w:rsidTr="003A79D7">
        <w:tc>
          <w:tcPr>
            <w:tcW w:w="1668" w:type="dxa"/>
          </w:tcPr>
          <w:p w:rsidR="005C208D" w:rsidRPr="005C208D" w:rsidRDefault="005C208D" w:rsidP="00242FB8">
            <w:pPr>
              <w:rPr>
                <w:b/>
                <w:i/>
              </w:rPr>
            </w:pPr>
            <w:r w:rsidRPr="005C208D">
              <w:rPr>
                <w:b/>
              </w:rPr>
              <w:t>Psychographic</w:t>
            </w:r>
          </w:p>
        </w:tc>
        <w:tc>
          <w:tcPr>
            <w:tcW w:w="2976" w:type="dxa"/>
            <w:vAlign w:val="bottom"/>
          </w:tcPr>
          <w:p w:rsidR="005C208D" w:rsidRPr="005C208D" w:rsidRDefault="005C208D" w:rsidP="005C208D">
            <w:pPr>
              <w:spacing w:line="360" w:lineRule="auto"/>
              <w:rPr>
                <w:b/>
              </w:rPr>
            </w:pPr>
            <w:r w:rsidRPr="005C208D">
              <w:rPr>
                <w:b/>
              </w:rPr>
              <w:t>Cross Cultural Consumer Characteristics (4C’s)</w:t>
            </w:r>
          </w:p>
        </w:tc>
        <w:tc>
          <w:tcPr>
            <w:tcW w:w="2127" w:type="dxa"/>
            <w:vAlign w:val="bottom"/>
          </w:tcPr>
          <w:p w:rsidR="005C208D" w:rsidRPr="005C208D" w:rsidRDefault="005C208D" w:rsidP="005C208D">
            <w:pPr>
              <w:spacing w:line="360" w:lineRule="auto"/>
              <w:rPr>
                <w:b/>
              </w:rPr>
            </w:pPr>
          </w:p>
        </w:tc>
        <w:tc>
          <w:tcPr>
            <w:tcW w:w="7938" w:type="dxa"/>
            <w:vAlign w:val="bottom"/>
          </w:tcPr>
          <w:p w:rsidR="005C208D" w:rsidRPr="005C208D" w:rsidRDefault="005C208D" w:rsidP="005C208D">
            <w:pPr>
              <w:spacing w:line="360" w:lineRule="auto"/>
              <w:rPr>
                <w:b/>
                <w:i/>
              </w:rPr>
            </w:pPr>
          </w:p>
        </w:tc>
      </w:tr>
    </w:tbl>
    <w:p w:rsidR="00C67FB9" w:rsidRPr="00C67FB9" w:rsidRDefault="00C67FB9" w:rsidP="00242FB8">
      <w:pPr>
        <w:rPr>
          <w:b/>
          <w:sz w:val="2"/>
          <w:szCs w:val="28"/>
        </w:rPr>
      </w:pPr>
    </w:p>
    <w:p w:rsidR="00BC780E" w:rsidRPr="006B6A15" w:rsidRDefault="00B425E5" w:rsidP="00242FB8">
      <w:pPr>
        <w:rPr>
          <w:b/>
          <w:sz w:val="28"/>
          <w:szCs w:val="28"/>
        </w:rPr>
      </w:pPr>
      <w:r w:rsidRPr="00B425E5">
        <w:rPr>
          <w:b/>
          <w:sz w:val="28"/>
          <w:szCs w:val="28"/>
        </w:rPr>
        <w:t xml:space="preserve">TASK </w:t>
      </w:r>
      <w:r w:rsidR="003A79D7">
        <w:rPr>
          <w:b/>
          <w:sz w:val="28"/>
          <w:szCs w:val="28"/>
        </w:rPr>
        <w:t>2</w:t>
      </w:r>
      <w:r w:rsidR="006B6A15">
        <w:rPr>
          <w:b/>
          <w:sz w:val="28"/>
          <w:szCs w:val="28"/>
        </w:rPr>
        <w:br/>
      </w:r>
      <w:r w:rsidR="00BC780E" w:rsidRPr="00E33178">
        <w:rPr>
          <w:sz w:val="24"/>
          <w:szCs w:val="28"/>
        </w:rPr>
        <w:t xml:space="preserve">Create a </w:t>
      </w:r>
      <w:r w:rsidR="00BC780E" w:rsidRPr="00E33178">
        <w:rPr>
          <w:b/>
          <w:sz w:val="24"/>
          <w:szCs w:val="28"/>
        </w:rPr>
        <w:t>poster</w:t>
      </w:r>
      <w:r w:rsidR="00BC780E" w:rsidRPr="00E33178">
        <w:rPr>
          <w:sz w:val="24"/>
          <w:szCs w:val="28"/>
        </w:rPr>
        <w:t xml:space="preserve"> either </w:t>
      </w:r>
      <w:r w:rsidR="00BC780E" w:rsidRPr="00E33178">
        <w:rPr>
          <w:b/>
          <w:sz w:val="24"/>
          <w:szCs w:val="28"/>
        </w:rPr>
        <w:t>hand dr</w:t>
      </w:r>
      <w:r w:rsidR="00E33178" w:rsidRPr="00E33178">
        <w:rPr>
          <w:b/>
          <w:sz w:val="24"/>
          <w:szCs w:val="28"/>
        </w:rPr>
        <w:t>a</w:t>
      </w:r>
      <w:r w:rsidR="00BC780E" w:rsidRPr="00E33178">
        <w:rPr>
          <w:b/>
          <w:sz w:val="24"/>
          <w:szCs w:val="28"/>
        </w:rPr>
        <w:t>wn</w:t>
      </w:r>
      <w:r w:rsidR="00E33178" w:rsidRPr="00E33178">
        <w:rPr>
          <w:sz w:val="24"/>
          <w:szCs w:val="28"/>
        </w:rPr>
        <w:t xml:space="preserve">, </w:t>
      </w:r>
      <w:r w:rsidR="00E33178">
        <w:rPr>
          <w:sz w:val="24"/>
          <w:szCs w:val="28"/>
        </w:rPr>
        <w:t xml:space="preserve">on </w:t>
      </w:r>
      <w:r w:rsidR="00E33178" w:rsidRPr="00E33178">
        <w:rPr>
          <w:b/>
          <w:sz w:val="24"/>
          <w:szCs w:val="28"/>
        </w:rPr>
        <w:t>Publisher</w:t>
      </w:r>
      <w:r w:rsidR="00E33178" w:rsidRPr="00E33178">
        <w:rPr>
          <w:sz w:val="24"/>
          <w:szCs w:val="28"/>
        </w:rPr>
        <w:t xml:space="preserve"> or at </w:t>
      </w:r>
      <w:hyperlink r:id="rId10" w:history="1">
        <w:r w:rsidR="00E33178" w:rsidRPr="00E33178">
          <w:rPr>
            <w:rStyle w:val="Hyperlink"/>
            <w:b/>
            <w:sz w:val="24"/>
            <w:szCs w:val="28"/>
          </w:rPr>
          <w:t>www.visme.co/</w:t>
        </w:r>
      </w:hyperlink>
      <w:r w:rsidR="00E33178" w:rsidRPr="00E33178">
        <w:rPr>
          <w:sz w:val="24"/>
          <w:szCs w:val="28"/>
        </w:rPr>
        <w:t xml:space="preserve"> </w:t>
      </w:r>
      <w:r w:rsidR="006C18AA">
        <w:rPr>
          <w:sz w:val="24"/>
          <w:szCs w:val="28"/>
        </w:rPr>
        <w:t>(</w:t>
      </w:r>
      <w:r w:rsidR="006C18AA" w:rsidRPr="006C18AA">
        <w:rPr>
          <w:i/>
          <w:szCs w:val="28"/>
        </w:rPr>
        <w:t>use Chrome</w:t>
      </w:r>
      <w:r w:rsidR="006C18AA">
        <w:rPr>
          <w:sz w:val="24"/>
          <w:szCs w:val="28"/>
        </w:rPr>
        <w:t xml:space="preserve">) </w:t>
      </w:r>
      <w:r w:rsidR="00E33178">
        <w:rPr>
          <w:sz w:val="24"/>
          <w:szCs w:val="28"/>
        </w:rPr>
        <w:t>applying audience theories</w:t>
      </w:r>
    </w:p>
    <w:tbl>
      <w:tblPr>
        <w:tblStyle w:val="TableGrid"/>
        <w:tblW w:w="0" w:type="auto"/>
        <w:tblLook w:val="04A0" w:firstRow="1" w:lastRow="0" w:firstColumn="1" w:lastColumn="0" w:noHBand="0" w:noVBand="1"/>
      </w:tblPr>
      <w:tblGrid>
        <w:gridCol w:w="3421"/>
        <w:gridCol w:w="6363"/>
        <w:gridCol w:w="4390"/>
      </w:tblGrid>
      <w:tr w:rsidR="006B6A15" w:rsidTr="00015781">
        <w:tc>
          <w:tcPr>
            <w:tcW w:w="0" w:type="auto"/>
          </w:tcPr>
          <w:p w:rsidR="006B6A15" w:rsidRPr="007354C8" w:rsidRDefault="006B6A15" w:rsidP="003B6E53">
            <w:r w:rsidRPr="007354C8">
              <w:rPr>
                <w:b/>
                <w:bCs/>
                <w:iCs/>
              </w:rPr>
              <w:t>Albert Bandura:</w:t>
            </w:r>
            <w:r w:rsidRPr="007354C8">
              <w:rPr>
                <w:b/>
                <w:bCs/>
              </w:rPr>
              <w:t xml:space="preserve"> Effects models</w:t>
            </w:r>
          </w:p>
        </w:tc>
        <w:tc>
          <w:tcPr>
            <w:tcW w:w="0" w:type="auto"/>
          </w:tcPr>
          <w:p w:rsidR="006B6A15" w:rsidRPr="007354C8" w:rsidRDefault="006B6A15" w:rsidP="003B6E53">
            <w:r w:rsidRPr="007354C8">
              <w:rPr>
                <w:b/>
                <w:bCs/>
                <w:iCs/>
              </w:rPr>
              <w:t xml:space="preserve">George </w:t>
            </w:r>
            <w:proofErr w:type="spellStart"/>
            <w:r w:rsidRPr="007354C8">
              <w:rPr>
                <w:b/>
                <w:bCs/>
                <w:iCs/>
              </w:rPr>
              <w:t>Gerbner</w:t>
            </w:r>
            <w:proofErr w:type="spellEnd"/>
            <w:r w:rsidRPr="007354C8">
              <w:rPr>
                <w:b/>
                <w:bCs/>
                <w:iCs/>
              </w:rPr>
              <w:t>:</w:t>
            </w:r>
            <w:r w:rsidRPr="007354C8">
              <w:rPr>
                <w:rFonts w:eastAsiaTheme="minorEastAsia" w:hAnsi="Calibri"/>
                <w:b/>
                <w:bCs/>
                <w:color w:val="800080" w:themeColor="followedHyperlink"/>
                <w:kern w:val="24"/>
                <w:sz w:val="24"/>
                <w:szCs w:val="72"/>
              </w:rPr>
              <w:t xml:space="preserve"> </w:t>
            </w:r>
            <w:r w:rsidRPr="007354C8">
              <w:rPr>
                <w:b/>
                <w:bCs/>
                <w:iCs/>
              </w:rPr>
              <w:t>Cultivation Theory</w:t>
            </w:r>
          </w:p>
        </w:tc>
        <w:tc>
          <w:tcPr>
            <w:tcW w:w="0" w:type="auto"/>
          </w:tcPr>
          <w:p w:rsidR="006B6A15" w:rsidRPr="007354C8" w:rsidRDefault="006B6A15" w:rsidP="003B6E53">
            <w:r w:rsidRPr="007354C8">
              <w:rPr>
                <w:b/>
                <w:bCs/>
                <w:iCs/>
              </w:rPr>
              <w:t>Stuart Hall: Reception Analysis</w:t>
            </w:r>
          </w:p>
        </w:tc>
      </w:tr>
      <w:tr w:rsidR="006B6A15" w:rsidTr="00015781">
        <w:tc>
          <w:tcPr>
            <w:tcW w:w="0" w:type="auto"/>
          </w:tcPr>
          <w:p w:rsidR="006B6A15" w:rsidRDefault="006B6A15" w:rsidP="003B6E53">
            <w:pPr>
              <w:rPr>
                <w:bCs/>
                <w:iCs/>
              </w:rPr>
            </w:pPr>
            <w:r w:rsidRPr="007354C8">
              <w:rPr>
                <w:bCs/>
                <w:iCs/>
              </w:rPr>
              <w:t xml:space="preserve">According to Bandura </w:t>
            </w:r>
            <w:r>
              <w:rPr>
                <w:bCs/>
                <w:iCs/>
              </w:rPr>
              <w:t>what impact may advertising have on audiences?</w:t>
            </w:r>
          </w:p>
          <w:p w:rsidR="006B6A15" w:rsidRDefault="006B6A15" w:rsidP="003B6E53">
            <w:pPr>
              <w:rPr>
                <w:bCs/>
                <w:iCs/>
              </w:rPr>
            </w:pPr>
          </w:p>
          <w:p w:rsidR="006B6A15" w:rsidRDefault="006B6A15" w:rsidP="003B6E53">
            <w:pPr>
              <w:rPr>
                <w:bCs/>
                <w:iCs/>
              </w:rPr>
            </w:pPr>
            <w:r>
              <w:rPr>
                <w:bCs/>
                <w:iCs/>
              </w:rPr>
              <w:t>How may a passive audience ‘read’ this advert?</w:t>
            </w:r>
          </w:p>
          <w:p w:rsidR="006B6A15" w:rsidRDefault="006B6A15" w:rsidP="003B6E53">
            <w:pPr>
              <w:rPr>
                <w:bCs/>
                <w:iCs/>
              </w:rPr>
            </w:pPr>
          </w:p>
          <w:p w:rsidR="006B6A15" w:rsidRDefault="006B6A15" w:rsidP="003B6E53">
            <w:pPr>
              <w:rPr>
                <w:bCs/>
                <w:iCs/>
              </w:rPr>
            </w:pPr>
            <w:r>
              <w:rPr>
                <w:bCs/>
                <w:iCs/>
              </w:rPr>
              <w:t>What should a passive audience do in response to the advert?</w:t>
            </w:r>
          </w:p>
          <w:p w:rsidR="006B6A15" w:rsidRPr="007354C8" w:rsidRDefault="006B6A15" w:rsidP="003B6E53">
            <w:pPr>
              <w:rPr>
                <w:bCs/>
                <w:iCs/>
              </w:rPr>
            </w:pPr>
            <w:bookmarkStart w:id="0" w:name="_GoBack"/>
            <w:bookmarkEnd w:id="0"/>
          </w:p>
        </w:tc>
        <w:tc>
          <w:tcPr>
            <w:tcW w:w="0" w:type="auto"/>
          </w:tcPr>
          <w:p w:rsidR="006B6A15" w:rsidRDefault="006B6A15" w:rsidP="003B6E53">
            <w:pPr>
              <w:rPr>
                <w:bCs/>
                <w:iCs/>
              </w:rPr>
            </w:pPr>
            <w:r>
              <w:rPr>
                <w:bCs/>
                <w:iCs/>
              </w:rPr>
              <w:t xml:space="preserve">What messages/ideas are WaterAid trying to cultivate within this advert?  </w:t>
            </w:r>
          </w:p>
          <w:p w:rsidR="006B6A15" w:rsidRDefault="006B6A15" w:rsidP="003B6E53">
            <w:pPr>
              <w:rPr>
                <w:bCs/>
                <w:iCs/>
              </w:rPr>
            </w:pPr>
            <w:r>
              <w:rPr>
                <w:bCs/>
                <w:iCs/>
              </w:rPr>
              <w:t>How is that different to the majority of charity adverts?</w:t>
            </w:r>
          </w:p>
          <w:p w:rsidR="006B6A15" w:rsidRDefault="006B6A15" w:rsidP="003B6E53">
            <w:pPr>
              <w:rPr>
                <w:bCs/>
                <w:iCs/>
              </w:rPr>
            </w:pPr>
          </w:p>
          <w:p w:rsidR="006B6A15" w:rsidRDefault="00C67FB9" w:rsidP="003B6E53">
            <w:pPr>
              <w:rPr>
                <w:bCs/>
                <w:iCs/>
              </w:rPr>
            </w:pPr>
            <w:r>
              <w:rPr>
                <w:bCs/>
                <w:iCs/>
              </w:rPr>
              <w:t xml:space="preserve">What impact do </w:t>
            </w:r>
            <w:r w:rsidR="006B6A15">
              <w:rPr>
                <w:bCs/>
                <w:iCs/>
              </w:rPr>
              <w:t>conventional charity adverts have on our understanding of the world</w:t>
            </w:r>
            <w:r>
              <w:rPr>
                <w:bCs/>
                <w:iCs/>
              </w:rPr>
              <w:t>?</w:t>
            </w:r>
          </w:p>
          <w:p w:rsidR="006B6A15" w:rsidRDefault="006B6A15" w:rsidP="003B6E53">
            <w:pPr>
              <w:rPr>
                <w:bCs/>
                <w:iCs/>
              </w:rPr>
            </w:pPr>
          </w:p>
          <w:p w:rsidR="00C67FB9" w:rsidRDefault="006B6A15" w:rsidP="003B6E53">
            <w:pPr>
              <w:rPr>
                <w:bCs/>
                <w:iCs/>
              </w:rPr>
            </w:pPr>
            <w:r>
              <w:rPr>
                <w:bCs/>
                <w:iCs/>
              </w:rPr>
              <w:t xml:space="preserve">How is WaterAid try to change </w:t>
            </w:r>
            <w:r w:rsidR="00C67FB9">
              <w:rPr>
                <w:bCs/>
                <w:iCs/>
              </w:rPr>
              <w:t xml:space="preserve">this? </w:t>
            </w:r>
          </w:p>
          <w:p w:rsidR="006B6A15" w:rsidRPr="007354C8" w:rsidRDefault="00C67FB9" w:rsidP="003B6E53">
            <w:pPr>
              <w:rPr>
                <w:bCs/>
                <w:iCs/>
              </w:rPr>
            </w:pPr>
            <w:r>
              <w:rPr>
                <w:bCs/>
                <w:iCs/>
              </w:rPr>
              <w:t>Can it be successful in doing considering the repetition of the message we have had from previous charity adverts going back as far as the 1980s?</w:t>
            </w:r>
          </w:p>
        </w:tc>
        <w:tc>
          <w:tcPr>
            <w:tcW w:w="0" w:type="auto"/>
          </w:tcPr>
          <w:p w:rsidR="00C67FB9" w:rsidRDefault="00C67FB9" w:rsidP="003B6E53">
            <w:pPr>
              <w:rPr>
                <w:bCs/>
                <w:iCs/>
              </w:rPr>
            </w:pPr>
            <w:r>
              <w:rPr>
                <w:bCs/>
                <w:iCs/>
              </w:rPr>
              <w:t>What is the dominant/preferred reading of the advert?</w:t>
            </w:r>
          </w:p>
          <w:p w:rsidR="00C67FB9" w:rsidRDefault="00C67FB9" w:rsidP="003B6E53">
            <w:pPr>
              <w:rPr>
                <w:bCs/>
                <w:iCs/>
              </w:rPr>
            </w:pPr>
          </w:p>
          <w:p w:rsidR="006B6A15" w:rsidRDefault="006B6A15" w:rsidP="003B6E53">
            <w:pPr>
              <w:rPr>
                <w:bCs/>
                <w:iCs/>
              </w:rPr>
            </w:pPr>
            <w:r w:rsidRPr="007354C8">
              <w:rPr>
                <w:bCs/>
                <w:iCs/>
              </w:rPr>
              <w:t xml:space="preserve">What techniques have been used to </w:t>
            </w:r>
            <w:r>
              <w:rPr>
                <w:bCs/>
                <w:iCs/>
              </w:rPr>
              <w:t xml:space="preserve">encourage a </w:t>
            </w:r>
            <w:r w:rsidR="00C67FB9">
              <w:rPr>
                <w:bCs/>
                <w:iCs/>
              </w:rPr>
              <w:t>dominant</w:t>
            </w:r>
            <w:r>
              <w:rPr>
                <w:bCs/>
                <w:iCs/>
              </w:rPr>
              <w:t xml:space="preserve"> reading? </w:t>
            </w:r>
          </w:p>
          <w:p w:rsidR="00C67FB9" w:rsidRDefault="00C67FB9" w:rsidP="003B6E53">
            <w:pPr>
              <w:rPr>
                <w:bCs/>
                <w:iCs/>
              </w:rPr>
            </w:pPr>
          </w:p>
          <w:p w:rsidR="006B6A15" w:rsidRDefault="006B6A15" w:rsidP="003B6E53">
            <w:pPr>
              <w:rPr>
                <w:bCs/>
                <w:iCs/>
              </w:rPr>
            </w:pPr>
            <w:r>
              <w:rPr>
                <w:bCs/>
                <w:iCs/>
              </w:rPr>
              <w:t>What might a negotiated reading be? Why might an audience have this response?</w:t>
            </w:r>
          </w:p>
          <w:p w:rsidR="00C67FB9" w:rsidRDefault="00C67FB9" w:rsidP="003B6E53">
            <w:pPr>
              <w:rPr>
                <w:bCs/>
                <w:iCs/>
              </w:rPr>
            </w:pPr>
          </w:p>
          <w:p w:rsidR="006B6A15" w:rsidRPr="007354C8" w:rsidRDefault="006B6A15" w:rsidP="003B6E53">
            <w:pPr>
              <w:rPr>
                <w:bCs/>
                <w:iCs/>
              </w:rPr>
            </w:pPr>
            <w:r>
              <w:rPr>
                <w:bCs/>
                <w:iCs/>
              </w:rPr>
              <w:t>What might an oppositional reading be? Why might an audience have this response?</w:t>
            </w:r>
          </w:p>
        </w:tc>
      </w:tr>
    </w:tbl>
    <w:p w:rsidR="006B6A15" w:rsidRDefault="006B6A15" w:rsidP="00D4084D">
      <w:pPr>
        <w:rPr>
          <w:sz w:val="24"/>
          <w:szCs w:val="28"/>
        </w:rPr>
      </w:pPr>
    </w:p>
    <w:sectPr w:rsidR="006B6A15" w:rsidSect="006B6A15">
      <w:headerReference w:type="default" r:id="rId11"/>
      <w:pgSz w:w="16838" w:h="11906" w:orient="landscape"/>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E53" w:rsidRDefault="003B6E53" w:rsidP="00242FB8">
      <w:pPr>
        <w:spacing w:after="0" w:line="240" w:lineRule="auto"/>
      </w:pPr>
      <w:r>
        <w:separator/>
      </w:r>
    </w:p>
  </w:endnote>
  <w:endnote w:type="continuationSeparator" w:id="0">
    <w:p w:rsidR="003B6E53" w:rsidRDefault="003B6E53" w:rsidP="0024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E53" w:rsidRDefault="003B6E53" w:rsidP="00242FB8">
      <w:pPr>
        <w:spacing w:after="0" w:line="240" w:lineRule="auto"/>
      </w:pPr>
      <w:r>
        <w:separator/>
      </w:r>
    </w:p>
  </w:footnote>
  <w:footnote w:type="continuationSeparator" w:id="0">
    <w:p w:rsidR="003B6E53" w:rsidRDefault="003B6E53" w:rsidP="00242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53" w:rsidRDefault="003B6E53" w:rsidP="00242FB8">
    <w:pPr>
      <w:pStyle w:val="Header"/>
    </w:pPr>
    <w:r>
      <w:t>Component 1: Media Products, Industries and Audiences</w:t>
    </w:r>
  </w:p>
  <w:p w:rsidR="003B6E53" w:rsidRDefault="003B6E53" w:rsidP="00242FB8">
    <w:pPr>
      <w:pStyle w:val="Header"/>
    </w:pPr>
    <w:r>
      <w:t>Water Aid (2016) - Audience</w:t>
    </w:r>
  </w:p>
  <w:p w:rsidR="003B6E53" w:rsidRDefault="003B6E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FB8"/>
    <w:rsid w:val="00015781"/>
    <w:rsid w:val="00214E70"/>
    <w:rsid w:val="00242FB8"/>
    <w:rsid w:val="00356A06"/>
    <w:rsid w:val="003A79D7"/>
    <w:rsid w:val="003B6E53"/>
    <w:rsid w:val="00420325"/>
    <w:rsid w:val="005271E9"/>
    <w:rsid w:val="005C208D"/>
    <w:rsid w:val="006B6A15"/>
    <w:rsid w:val="006C18AA"/>
    <w:rsid w:val="007473FF"/>
    <w:rsid w:val="00801A79"/>
    <w:rsid w:val="00B36BF4"/>
    <w:rsid w:val="00B425E5"/>
    <w:rsid w:val="00B6230F"/>
    <w:rsid w:val="00BA7DE8"/>
    <w:rsid w:val="00BC780E"/>
    <w:rsid w:val="00BD4249"/>
    <w:rsid w:val="00C67FB9"/>
    <w:rsid w:val="00C74754"/>
    <w:rsid w:val="00CE6DEB"/>
    <w:rsid w:val="00D4084D"/>
    <w:rsid w:val="00D60AAE"/>
    <w:rsid w:val="00DB0F9D"/>
    <w:rsid w:val="00E33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B0BB"/>
  <w15:docId w15:val="{6A70C428-0BB0-4D4D-BEF5-6FF94A4F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FB8"/>
  </w:style>
  <w:style w:type="paragraph" w:styleId="Footer">
    <w:name w:val="footer"/>
    <w:basedOn w:val="Normal"/>
    <w:link w:val="FooterChar"/>
    <w:uiPriority w:val="99"/>
    <w:unhideWhenUsed/>
    <w:rsid w:val="00242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FB8"/>
  </w:style>
  <w:style w:type="table" w:styleId="TableGrid">
    <w:name w:val="Table Grid"/>
    <w:basedOn w:val="TableNormal"/>
    <w:uiPriority w:val="59"/>
    <w:rsid w:val="00DB0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6DEB"/>
    <w:rPr>
      <w:color w:val="0000FF" w:themeColor="hyperlink"/>
      <w:u w:val="single"/>
    </w:rPr>
  </w:style>
  <w:style w:type="paragraph" w:styleId="BalloonText">
    <w:name w:val="Balloon Text"/>
    <w:basedOn w:val="Normal"/>
    <w:link w:val="BalloonTextChar"/>
    <w:uiPriority w:val="99"/>
    <w:semiHidden/>
    <w:unhideWhenUsed/>
    <w:rsid w:val="00C7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754"/>
    <w:rPr>
      <w:rFonts w:ascii="Tahoma" w:hAnsi="Tahoma" w:cs="Tahoma"/>
      <w:sz w:val="16"/>
      <w:szCs w:val="16"/>
    </w:rPr>
  </w:style>
  <w:style w:type="character" w:styleId="FollowedHyperlink">
    <w:name w:val="FollowedHyperlink"/>
    <w:basedOn w:val="DefaultParagraphFont"/>
    <w:uiPriority w:val="99"/>
    <w:semiHidden/>
    <w:unhideWhenUsed/>
    <w:rsid w:val="00E331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32942">
      <w:bodyDiv w:val="1"/>
      <w:marLeft w:val="0"/>
      <w:marRight w:val="0"/>
      <w:marTop w:val="0"/>
      <w:marBottom w:val="0"/>
      <w:divBdr>
        <w:top w:val="none" w:sz="0" w:space="0" w:color="auto"/>
        <w:left w:val="none" w:sz="0" w:space="0" w:color="auto"/>
        <w:bottom w:val="none" w:sz="0" w:space="0" w:color="auto"/>
        <w:right w:val="none" w:sz="0" w:space="0" w:color="auto"/>
      </w:divBdr>
    </w:div>
    <w:div w:id="880676190">
      <w:bodyDiv w:val="1"/>
      <w:marLeft w:val="0"/>
      <w:marRight w:val="0"/>
      <w:marTop w:val="0"/>
      <w:marBottom w:val="0"/>
      <w:divBdr>
        <w:top w:val="none" w:sz="0" w:space="0" w:color="auto"/>
        <w:left w:val="none" w:sz="0" w:space="0" w:color="auto"/>
        <w:bottom w:val="none" w:sz="0" w:space="0" w:color="auto"/>
        <w:right w:val="none" w:sz="0" w:space="0" w:color="auto"/>
      </w:divBdr>
      <w:divsChild>
        <w:div w:id="1611862131">
          <w:marLeft w:val="0"/>
          <w:marRight w:val="0"/>
          <w:marTop w:val="0"/>
          <w:marBottom w:val="0"/>
          <w:divBdr>
            <w:top w:val="none" w:sz="0" w:space="0" w:color="auto"/>
            <w:left w:val="none" w:sz="0" w:space="0" w:color="auto"/>
            <w:bottom w:val="none" w:sz="0" w:space="0" w:color="auto"/>
            <w:right w:val="none" w:sz="0" w:space="0" w:color="auto"/>
          </w:divBdr>
        </w:div>
        <w:div w:id="1714577059">
          <w:marLeft w:val="45"/>
          <w:marRight w:val="45"/>
          <w:marTop w:val="15"/>
          <w:marBottom w:val="0"/>
          <w:divBdr>
            <w:top w:val="none" w:sz="0" w:space="0" w:color="auto"/>
            <w:left w:val="none" w:sz="0" w:space="0" w:color="auto"/>
            <w:bottom w:val="none" w:sz="0" w:space="0" w:color="auto"/>
            <w:right w:val="none" w:sz="0" w:space="0" w:color="auto"/>
          </w:divBdr>
          <w:divsChild>
            <w:div w:id="11661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voluntary-sector-network/2014/sep/29/poverty-porn-charity-adverts-emotional-fundraisi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teraid.org/u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visme.co/" TargetMode="External"/><Relationship Id="rId4" Type="http://schemas.openxmlformats.org/officeDocument/2006/relationships/footnotes" Target="footnotes.xml"/><Relationship Id="rId9" Type="http://schemas.openxmlformats.org/officeDocument/2006/relationships/hyperlink" Target="https://digiday.com/media/demographics-youtube-5-ch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BAF143B2</Template>
  <TotalTime>118</TotalTime>
  <Pages>3</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Piper</dc:creator>
  <cp:lastModifiedBy>Karina L. Free</cp:lastModifiedBy>
  <cp:revision>16</cp:revision>
  <dcterms:created xsi:type="dcterms:W3CDTF">2017-08-04T13:23:00Z</dcterms:created>
  <dcterms:modified xsi:type="dcterms:W3CDTF">2018-10-11T15:44:00Z</dcterms:modified>
</cp:coreProperties>
</file>